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2E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04275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2E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F2E86" w:rsidP="00E4076D">
            <w:fldSimple w:instr=" DOCPROPERTY  Рег.№  \* MERGEFORMAT ">
              <w:r w:rsidR="009416DA" w:rsidRPr="009416DA">
                <w:t>496-П/АДМ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63052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63052">
            <w:pPr>
              <w:jc w:val="both"/>
            </w:pPr>
            <w:r>
              <w:t xml:space="preserve">О внесении изменений </w:t>
            </w:r>
            <w:r w:rsidR="00063052">
              <w:br/>
            </w:r>
            <w:r>
              <w:t>в постановление Администрации Златоустовского городского округа от 18.11.2022 г. № 503-П/АДМ</w:t>
            </w:r>
            <w:r w:rsidR="00063052">
              <w:br/>
            </w:r>
            <w:r>
              <w:t xml:space="preserve">«Об утверждении муниципальной программы «Развитие культуры </w:t>
            </w:r>
            <w:r w:rsidR="00063052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0630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3052" w:rsidRDefault="00063052" w:rsidP="009416DA">
      <w:pPr>
        <w:widowControl w:val="0"/>
        <w:ind w:firstLine="709"/>
        <w:jc w:val="both"/>
      </w:pPr>
    </w:p>
    <w:p w:rsidR="009416DA" w:rsidRPr="00E4076D" w:rsidRDefault="00542857" w:rsidP="009416DA">
      <w:pPr>
        <w:widowControl w:val="0"/>
        <w:ind w:firstLine="709"/>
        <w:jc w:val="both"/>
      </w:pPr>
      <w:r w:rsidRPr="00542857">
        <w:t>В соответствии с решением Собрания депутатов Златоустовского горо</w:t>
      </w:r>
      <w:r w:rsidR="00595AE2">
        <w:t xml:space="preserve">дского округа </w:t>
      </w:r>
      <w:r w:rsidRPr="00542857">
        <w:t xml:space="preserve">от 01.07.2025 г. №  43-ЗГО «О внесении изменений </w:t>
      </w:r>
      <w:r w:rsidR="00595AE2">
        <w:br/>
      </w:r>
      <w:r w:rsidRPr="00542857">
        <w:t xml:space="preserve">в решение Собрания депутатов Златоустовского городского округа 19.12.2024 г. № 60-ЗГО «О бюджете Златоустовского городского округа на 2025 год </w:t>
      </w:r>
      <w:r w:rsidR="00595AE2">
        <w:br/>
      </w:r>
      <w:r w:rsidRPr="00542857"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42857" w:rsidRDefault="00595AE2" w:rsidP="00542857">
      <w:pPr>
        <w:widowControl w:val="0"/>
        <w:ind w:firstLine="709"/>
        <w:jc w:val="both"/>
      </w:pPr>
      <w:r>
        <w:t>1. </w:t>
      </w:r>
      <w:r w:rsidR="00542857">
        <w:t xml:space="preserve">Внести в постановление Администрации Златоустовского городского округа от 18.11.2022 </w:t>
      </w:r>
      <w:r>
        <w:t>г.</w:t>
      </w:r>
      <w:r w:rsidR="00542857">
        <w:t xml:space="preserve"> № 503-П/АДМ «Об утверждении муниципальной программы «Развитие культуры в Златоустовском городском округе» </w:t>
      </w:r>
      <w:r>
        <w:br/>
      </w:r>
      <w:r w:rsidR="00542857">
        <w:t>(далее – муниципальная программа) следующие изменения:</w:t>
      </w:r>
    </w:p>
    <w:p w:rsidR="00542857" w:rsidRDefault="00595AE2" w:rsidP="00542857">
      <w:pPr>
        <w:widowControl w:val="0"/>
        <w:ind w:firstLine="709"/>
        <w:jc w:val="both"/>
      </w:pPr>
      <w:r>
        <w:t>1) </w:t>
      </w:r>
      <w:r w:rsidR="00542857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542857" w:rsidP="0054285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3B051A" w:rsidRPr="003B051A" w:rsidTr="00595AE2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A" w:rsidRPr="003B051A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51A">
              <w:rPr>
                <w:sz w:val="26"/>
                <w:szCs w:val="26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Затраты, необходимые для проведения мероприятий </w:t>
            </w:r>
            <w:r w:rsidR="00595AE2" w:rsidRPr="00831E68">
              <w:rPr>
                <w:sz w:val="26"/>
                <w:szCs w:val="26"/>
              </w:rPr>
              <w:br/>
            </w:r>
            <w:r w:rsidRPr="00831E68">
              <w:rPr>
                <w:sz w:val="26"/>
                <w:szCs w:val="26"/>
              </w:rPr>
              <w:t>в рамках муниципальной программы: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Всего по муниципальной программе – </w:t>
            </w:r>
            <w:r w:rsidR="00595AE2" w:rsidRPr="00831E68">
              <w:rPr>
                <w:sz w:val="26"/>
                <w:szCs w:val="26"/>
              </w:rPr>
              <w:br/>
            </w:r>
            <w:r w:rsidRPr="00831E68">
              <w:rPr>
                <w:sz w:val="26"/>
                <w:szCs w:val="26"/>
              </w:rPr>
              <w:t>3 289 735,97356 тыс. рублей.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2023 г. – 503 413,748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- 497 754,6</w:t>
            </w:r>
            <w:r w:rsidR="00595AE2" w:rsidRPr="00831E68">
              <w:rPr>
                <w:sz w:val="26"/>
                <w:szCs w:val="26"/>
              </w:rPr>
              <w:t>48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- 3 932,39475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lastRenderedPageBreak/>
              <w:t>- 1 726,70525 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2024 г.– 845 452,84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- 693 252,3</w:t>
            </w:r>
            <w:r w:rsidR="00595AE2" w:rsidRPr="00831E68">
              <w:rPr>
                <w:sz w:val="26"/>
                <w:szCs w:val="26"/>
              </w:rPr>
              <w:t>6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- 146 131,49124 тыс. рублей (</w:t>
            </w:r>
            <w:r w:rsidR="00595AE2" w:rsidRPr="00831E68">
              <w:rPr>
                <w:sz w:val="26"/>
                <w:szCs w:val="26"/>
              </w:rPr>
              <w:t>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- 6 068,98876т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2025 г. – 642 295,947 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- 629 674,94</w:t>
            </w:r>
            <w:r w:rsidR="00595AE2" w:rsidRPr="00831E68">
              <w:rPr>
                <w:sz w:val="26"/>
                <w:szCs w:val="26"/>
              </w:rPr>
              <w:t>2 тыс. рублей (местный бюджет)</w:t>
            </w:r>
          </w:p>
          <w:p w:rsidR="003B051A" w:rsidRPr="00831E68" w:rsidRDefault="00D549B0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- </w:t>
            </w:r>
            <w:r w:rsidR="003B051A" w:rsidRPr="00831E68">
              <w:rPr>
                <w:sz w:val="26"/>
                <w:szCs w:val="26"/>
              </w:rPr>
              <w:t>4 190,25677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- 8 430,74823 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2026 г. – 758 020,91928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- 538 834,</w:t>
            </w:r>
            <w:r w:rsidR="00595AE2" w:rsidRPr="00831E68">
              <w:rPr>
                <w:sz w:val="26"/>
                <w:szCs w:val="26"/>
              </w:rPr>
              <w:t>3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- 219 186,61928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2027 г. – 540 552,51928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- 527 889,</w:t>
            </w:r>
            <w:r w:rsidR="00595AE2" w:rsidRPr="00831E68">
              <w:rPr>
                <w:sz w:val="26"/>
                <w:szCs w:val="26"/>
              </w:rPr>
              <w:t>9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- 10 676,5939 тыс. рубл</w:t>
            </w:r>
            <w:r w:rsidR="00595AE2" w:rsidRPr="00831E68">
              <w:rPr>
                <w:sz w:val="26"/>
                <w:szCs w:val="26"/>
              </w:rPr>
              <w:t>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- 1 986,02538 тыс. рублей (федеральный бюджет)</w:t>
            </w:r>
          </w:p>
        </w:tc>
      </w:tr>
    </w:tbl>
    <w:p w:rsidR="003B051A" w:rsidRDefault="003B051A" w:rsidP="0092331C">
      <w:pPr>
        <w:widowControl w:val="0"/>
        <w:ind w:firstLine="708"/>
        <w:jc w:val="both"/>
      </w:pPr>
      <w:r>
        <w:lastRenderedPageBreak/>
        <w:t>»;</w:t>
      </w:r>
    </w:p>
    <w:p w:rsidR="003B051A" w:rsidRDefault="0092331C" w:rsidP="0092331C">
      <w:pPr>
        <w:widowControl w:val="0"/>
        <w:ind w:firstLine="708"/>
        <w:jc w:val="both"/>
      </w:pPr>
      <w:r>
        <w:t>2) </w:t>
      </w:r>
      <w:r w:rsidR="003B051A">
        <w:t>пункт 20 раздела IX муниципальной программы изложить в следующей редакции:</w:t>
      </w:r>
    </w:p>
    <w:p w:rsidR="003B051A" w:rsidRDefault="003B051A" w:rsidP="0092331C">
      <w:pPr>
        <w:widowControl w:val="0"/>
        <w:ind w:firstLine="708"/>
        <w:jc w:val="both"/>
      </w:pPr>
      <w:r>
        <w:t>«20. 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3B051A" w:rsidRDefault="003B051A" w:rsidP="0092331C">
      <w:pPr>
        <w:widowControl w:val="0"/>
        <w:ind w:firstLine="708"/>
        <w:jc w:val="both"/>
      </w:pPr>
      <w:r>
        <w:t>Всего по муниципальной программе – 3 289 735,97356 тыс. рублей.</w:t>
      </w:r>
    </w:p>
    <w:p w:rsidR="003B051A" w:rsidRDefault="003B051A" w:rsidP="0092331C">
      <w:pPr>
        <w:widowControl w:val="0"/>
        <w:ind w:firstLine="708"/>
        <w:jc w:val="both"/>
      </w:pPr>
      <w:r>
        <w:t>2023 г. – 503 413,748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>- 497 754,648 тыс. рублей (местный бюджет),</w:t>
      </w:r>
    </w:p>
    <w:p w:rsidR="003B051A" w:rsidRDefault="003B051A" w:rsidP="0092331C">
      <w:pPr>
        <w:widowControl w:val="0"/>
        <w:ind w:firstLine="708"/>
        <w:jc w:val="both"/>
      </w:pPr>
      <w:r>
        <w:t>- 3 932,39475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- 1 726,70525 тыс. рублей (федеральный бюджет);</w:t>
      </w:r>
    </w:p>
    <w:p w:rsidR="003B051A" w:rsidRDefault="003B051A" w:rsidP="0092331C">
      <w:pPr>
        <w:widowControl w:val="0"/>
        <w:ind w:firstLine="708"/>
        <w:jc w:val="both"/>
      </w:pPr>
      <w:r>
        <w:t>2024 г.– 845 452,84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- 693 252,36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- 146 131,49124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- 6 068,98876тыс. рублей (федеральный бюджет);</w:t>
      </w:r>
    </w:p>
    <w:p w:rsidR="003B051A" w:rsidRDefault="003B051A" w:rsidP="0092331C">
      <w:pPr>
        <w:widowControl w:val="0"/>
        <w:ind w:firstLine="708"/>
        <w:jc w:val="both"/>
      </w:pPr>
      <w:r>
        <w:t>2025 г. – 642 295,947 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- 629 674,942 тыс. рублей (местный бюджет), </w:t>
      </w:r>
    </w:p>
    <w:p w:rsidR="003B051A" w:rsidRDefault="0092331C" w:rsidP="0092331C">
      <w:pPr>
        <w:widowControl w:val="0"/>
        <w:ind w:firstLine="708"/>
        <w:jc w:val="both"/>
      </w:pPr>
      <w:r>
        <w:t xml:space="preserve">- </w:t>
      </w:r>
      <w:r w:rsidR="003B051A">
        <w:t>4 190,25677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- 8 430,74823 тыс. рублей (федеральный бюджет),</w:t>
      </w:r>
    </w:p>
    <w:p w:rsidR="003B051A" w:rsidRDefault="003B051A" w:rsidP="0092331C">
      <w:pPr>
        <w:widowControl w:val="0"/>
        <w:ind w:firstLine="708"/>
        <w:jc w:val="both"/>
      </w:pPr>
      <w:r>
        <w:t>2026 г. – 758 020,91928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- 538 834,3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- 219 186,61928 тыс. рублей (областной бюджет);</w:t>
      </w:r>
    </w:p>
    <w:p w:rsidR="003B051A" w:rsidRDefault="003B051A" w:rsidP="0092331C">
      <w:pPr>
        <w:widowControl w:val="0"/>
        <w:ind w:firstLine="708"/>
        <w:jc w:val="both"/>
      </w:pPr>
      <w:r>
        <w:t>2027 г. – 540 552,51928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- 527 889,9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- 10 676,5939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- 1 986,02538 тыс. рублей (федеральный бюджет).»;</w:t>
      </w:r>
    </w:p>
    <w:p w:rsidR="003B051A" w:rsidRDefault="0092331C" w:rsidP="0092331C">
      <w:pPr>
        <w:widowControl w:val="0"/>
        <w:ind w:firstLine="708"/>
        <w:jc w:val="both"/>
      </w:pPr>
      <w:r>
        <w:lastRenderedPageBreak/>
        <w:t>3) </w:t>
      </w:r>
      <w:r w:rsidR="003B051A">
        <w:t>приложение 1 к муниципальной программе и</w:t>
      </w:r>
      <w:r>
        <w:t>зложить в новой редакции (прило</w:t>
      </w:r>
      <w:r w:rsidR="003B051A">
        <w:t>жение 1);</w:t>
      </w:r>
    </w:p>
    <w:p w:rsidR="003B051A" w:rsidRDefault="0092331C" w:rsidP="0092331C">
      <w:pPr>
        <w:widowControl w:val="0"/>
        <w:ind w:firstLine="708"/>
        <w:jc w:val="both"/>
      </w:pPr>
      <w:r>
        <w:t>4) </w:t>
      </w:r>
      <w:r w:rsidR="003B051A">
        <w:t>приложение 2 к муниципальной программе и</w:t>
      </w:r>
      <w:r>
        <w:t>зложить в новой редакции (прило</w:t>
      </w:r>
      <w:r w:rsidR="003B051A">
        <w:t>жение 2).</w:t>
      </w:r>
    </w:p>
    <w:p w:rsidR="003B051A" w:rsidRDefault="0092331C" w:rsidP="0092331C">
      <w:pPr>
        <w:widowControl w:val="0"/>
        <w:ind w:firstLine="708"/>
        <w:jc w:val="both"/>
      </w:pPr>
      <w:r>
        <w:t>2. </w:t>
      </w:r>
      <w:r w:rsidR="003B051A">
        <w:t>Пресс-службе Администрации Златоустовского городского окр</w:t>
      </w:r>
      <w:r w:rsidR="00F83A1D">
        <w:t>уга (Семёнова А.Г.) разместить</w:t>
      </w:r>
      <w:r w:rsidR="003B051A">
        <w:t xml:space="preserve"> настоящее постановление на официальном сайте Златоустовского городского округа в сети «Интернет».</w:t>
      </w:r>
    </w:p>
    <w:p w:rsidR="003B051A" w:rsidRDefault="0092331C" w:rsidP="0092331C">
      <w:pPr>
        <w:widowControl w:val="0"/>
        <w:ind w:firstLine="708"/>
        <w:jc w:val="both"/>
      </w:pPr>
      <w:r>
        <w:t>3. </w:t>
      </w:r>
      <w:r w:rsidR="001B4A0C">
        <w:t xml:space="preserve">Организацию выполнения </w:t>
      </w:r>
      <w:r w:rsidR="003B051A">
        <w:t xml:space="preserve">настоящего постановления возложить </w:t>
      </w:r>
      <w:r>
        <w:br/>
      </w:r>
      <w:r w:rsidR="003B051A">
        <w:t xml:space="preserve">на начальника </w:t>
      </w:r>
      <w:r>
        <w:t>м</w:t>
      </w:r>
      <w:r w:rsidR="003B051A">
        <w:t>униципального казённого учреждения Управление культуры Зл</w:t>
      </w:r>
      <w:r>
        <w:t>атоустовского городского округа</w:t>
      </w:r>
      <w:r w:rsidR="003B051A">
        <w:t xml:space="preserve"> Соловьеву О.Ю.</w:t>
      </w:r>
    </w:p>
    <w:p w:rsidR="00542857" w:rsidRDefault="0092331C" w:rsidP="0092331C">
      <w:pPr>
        <w:widowControl w:val="0"/>
        <w:ind w:firstLine="708"/>
        <w:jc w:val="both"/>
      </w:pPr>
      <w:r>
        <w:t>4. </w:t>
      </w:r>
      <w:r w:rsidRPr="0092331C">
        <w:t xml:space="preserve">Контроль за выполнением настоящего постановления оставляю </w:t>
      </w:r>
      <w:r>
        <w:br/>
      </w:r>
      <w:r w:rsidRPr="0092331C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4285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63052">
              <w:br/>
            </w:r>
            <w:r>
              <w:t xml:space="preserve">Златоустовского городского округа </w:t>
            </w:r>
            <w:r w:rsidR="00063052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3B051A" w:rsidRDefault="003B051A" w:rsidP="004574CC">
      <w:pPr>
        <w:sectPr w:rsidR="003B051A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C635A" w:rsidRPr="006C635A" w:rsidRDefault="006C635A" w:rsidP="006C635A">
      <w:pPr>
        <w:ind w:left="11057"/>
        <w:jc w:val="center"/>
      </w:pPr>
      <w:r w:rsidRPr="006C635A">
        <w:lastRenderedPageBreak/>
        <w:t>ПРИЛОЖЕНИЕ</w:t>
      </w:r>
      <w:r>
        <w:t xml:space="preserve"> 1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>Утверждено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>постановлением Администрации</w:t>
      </w:r>
    </w:p>
    <w:p w:rsidR="006C635A" w:rsidRPr="006C635A" w:rsidRDefault="006C635A" w:rsidP="006C635A">
      <w:pPr>
        <w:ind w:left="11057"/>
        <w:jc w:val="center"/>
      </w:pPr>
      <w:r w:rsidRPr="006C635A">
        <w:t>Златоустовского городского округа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 xml:space="preserve">от </w:t>
      </w:r>
      <w:r w:rsidR="00B21576" w:rsidRPr="00B21576">
        <w:rPr>
          <w:lang w:eastAsia="ar-SA"/>
        </w:rPr>
        <w:t>26.12.2025 г.</w:t>
      </w:r>
      <w:r w:rsidRPr="006C635A">
        <w:rPr>
          <w:lang w:eastAsia="ar-SA"/>
        </w:rPr>
        <w:t>№ </w:t>
      </w:r>
      <w:r w:rsidR="00B21576" w:rsidRPr="00B21576">
        <w:rPr>
          <w:lang w:eastAsia="ar-SA"/>
        </w:rPr>
        <w:t>496-П/АДМ</w:t>
      </w:r>
    </w:p>
    <w:p w:rsidR="006C635A" w:rsidRDefault="006C635A" w:rsidP="003B051A">
      <w:pPr>
        <w:tabs>
          <w:tab w:val="left" w:pos="9795"/>
        </w:tabs>
        <w:jc w:val="right"/>
      </w:pPr>
    </w:p>
    <w:p w:rsidR="003B051A" w:rsidRDefault="003B051A" w:rsidP="003B051A">
      <w:pPr>
        <w:rPr>
          <w:sz w:val="24"/>
          <w:szCs w:val="24"/>
        </w:rPr>
      </w:pPr>
    </w:p>
    <w:p w:rsidR="003B051A" w:rsidRDefault="003B051A" w:rsidP="006C635A">
      <w:pPr>
        <w:jc w:val="center"/>
      </w:pPr>
      <w:r w:rsidRPr="003B051A">
        <w:t>Перечень мероприятий муниципальной программы</w:t>
      </w:r>
    </w:p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712"/>
        <w:gridCol w:w="1141"/>
        <w:gridCol w:w="1141"/>
        <w:gridCol w:w="1141"/>
        <w:gridCol w:w="1284"/>
        <w:gridCol w:w="1283"/>
        <w:gridCol w:w="1426"/>
        <w:gridCol w:w="571"/>
        <w:gridCol w:w="748"/>
        <w:gridCol w:w="713"/>
        <w:gridCol w:w="822"/>
        <w:gridCol w:w="822"/>
        <w:gridCol w:w="822"/>
      </w:tblGrid>
      <w:tr w:rsidR="003B051A" w:rsidRPr="003B5300" w:rsidTr="006C635A">
        <w:trPr>
          <w:trHeight w:val="705"/>
          <w:tblHeader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276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275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5887" w:type="dxa"/>
            <w:gridSpan w:val="7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Целевые индикаторы</w:t>
            </w:r>
          </w:p>
        </w:tc>
      </w:tr>
      <w:tr w:rsidR="003B051A" w:rsidRPr="003B5300" w:rsidTr="006C635A">
        <w:trPr>
          <w:trHeight w:val="551"/>
          <w:tblHeader/>
          <w:jc w:val="center"/>
        </w:trPr>
        <w:tc>
          <w:tcPr>
            <w:tcW w:w="2235" w:type="dxa"/>
            <w:vMerge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2024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2025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2026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2027 г.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Наименование</w:t>
            </w:r>
          </w:p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 изм.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2024 г.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2025 г.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2026 г.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2027 г.</w:t>
            </w:r>
          </w:p>
        </w:tc>
      </w:tr>
      <w:tr w:rsidR="003B051A" w:rsidRPr="003B5300" w:rsidTr="006C635A">
        <w:trPr>
          <w:tblHeader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</w:t>
            </w:r>
          </w:p>
        </w:tc>
        <w:tc>
          <w:tcPr>
            <w:tcW w:w="743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</w:t>
            </w:r>
          </w:p>
        </w:tc>
      </w:tr>
      <w:tr w:rsidR="003B051A" w:rsidRPr="003B5300" w:rsidTr="006C635A">
        <w:trPr>
          <w:trHeight w:val="232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1»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102 006,0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144 144,6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(</w:t>
            </w:r>
            <w:r w:rsidRPr="003B5300">
              <w:rPr>
                <w:sz w:val="16"/>
                <w:szCs w:val="16"/>
                <w:lang w:val="en-US"/>
              </w:rPr>
              <w:t>14 391</w:t>
            </w:r>
            <w:r w:rsidRPr="003B5300">
              <w:rPr>
                <w:sz w:val="16"/>
                <w:szCs w:val="16"/>
              </w:rPr>
              <w:t>,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129 752,7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136 785,738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123 987,0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123 987,0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</w:t>
            </w:r>
            <w:r w:rsidRPr="003B5300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222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</w:tr>
      <w:tr w:rsidR="003B051A" w:rsidRPr="003B5300" w:rsidTr="006C635A">
        <w:trPr>
          <w:trHeight w:val="191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98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1.1 Ремонт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 xml:space="preserve">МБУДО «ДМШ № 3» ЗГО, 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1» ЗГО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2 223,7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3 584,7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 4457,138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250B04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98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1.2.Приобретение основных 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МБУДО «ДМШ № 3» ЗГО,  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2» ЗГО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16 413,5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(</w:t>
            </w:r>
            <w:r w:rsidRPr="003B5300">
              <w:rPr>
                <w:sz w:val="16"/>
                <w:szCs w:val="16"/>
                <w:lang w:val="en-US"/>
              </w:rPr>
              <w:t>14 391</w:t>
            </w:r>
            <w:r w:rsidRPr="003B5300">
              <w:rPr>
                <w:sz w:val="16"/>
                <w:szCs w:val="16"/>
              </w:rPr>
              <w:t>,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2 021,6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110,6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83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1.3. Единовременная социальная выплата преподавателям муниципальных учреждений дополнительного образования детей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сфере культуры, расположенных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3 300,0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1 800,0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МБУК «ДК"Булат»- РЦНТ», 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165 864,39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398 846,93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(127 571,48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271 275,45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174 162,771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357 919,31428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(215 553,11428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142 366,2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138 226,91428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(6 916,31428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131 310,6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%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2548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1922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2825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99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2.1 Ремонт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муниципальных учреждениях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МБУК «ДК"Булат»- 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11 134,25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12 117,6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74,7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250B04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831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2.2. Проведение ремонтных работ, противопожарных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муниципальной собственности,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приобретение основных средств для указанных учреждений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250B04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«ДК «</w:t>
            </w:r>
            <w:r w:rsidR="003B051A" w:rsidRPr="003B5300">
              <w:rPr>
                <w:sz w:val="16"/>
                <w:szCs w:val="16"/>
              </w:rPr>
              <w:t>Булат»-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8 616,98 (8 271,48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345,5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219 617,7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(208 636,8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10 980,9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 w:rsidR="00250B04" w:rsidRPr="003B5300">
              <w:rPr>
                <w:sz w:val="24"/>
                <w:szCs w:val="24"/>
              </w:rPr>
              <w:br/>
            </w:r>
            <w:r w:rsidRPr="003B5300">
              <w:rPr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2.3.  Приобретение основных </w:t>
            </w:r>
            <w:r w:rsidRPr="003B5300">
              <w:rPr>
                <w:sz w:val="16"/>
                <w:szCs w:val="16"/>
              </w:rPr>
              <w:lastRenderedPageBreak/>
              <w:t xml:space="preserve">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250B04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МБУК «ДК «</w:t>
            </w:r>
            <w:r w:rsidR="003B051A" w:rsidRPr="003B5300">
              <w:rPr>
                <w:sz w:val="16"/>
                <w:szCs w:val="16"/>
              </w:rPr>
              <w:t xml:space="preserve">Булат»- </w:t>
            </w:r>
            <w:r w:rsidR="003B051A" w:rsidRPr="003B5300">
              <w:rPr>
                <w:sz w:val="16"/>
                <w:szCs w:val="16"/>
              </w:rPr>
              <w:lastRenderedPageBreak/>
              <w:t xml:space="preserve">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27 889,09 </w:t>
            </w:r>
            <w:r w:rsidRPr="003B5300">
              <w:rPr>
                <w:sz w:val="16"/>
                <w:szCs w:val="16"/>
              </w:rPr>
              <w:lastRenderedPageBreak/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11 066,29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  <w:lang w:val="en-US"/>
              </w:rPr>
              <w:lastRenderedPageBreak/>
              <w:t>(местныйбюджет)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2 833,571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</w:t>
            </w:r>
            <w:r w:rsidRPr="003B5300">
              <w:rPr>
                <w:sz w:val="16"/>
                <w:szCs w:val="16"/>
              </w:rPr>
              <w:lastRenderedPageBreak/>
              <w:t>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2.4. Благоустройство территории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3 014,5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70 254,41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18 082,2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2.5.</w:t>
            </w:r>
          </w:p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Благоустройство мест отдыха, расположенных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163 300,0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(119 300,0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44 000,0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6 989,41428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(6 916,31428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73,1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6 989,41428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(6 916,31428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73,1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3. Предоставление доступа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к музейным коллекциям (фондам), осуществление просветительской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29 078,098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33 593,3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34 872,8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28 426,1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28 426,1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78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632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Число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32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3.1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192,598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26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5300" w:rsidP="003B0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3.2. </w:t>
            </w:r>
            <w:r w:rsidR="003B051A" w:rsidRPr="003B5300">
              <w:rPr>
                <w:sz w:val="16"/>
                <w:szCs w:val="16"/>
              </w:rPr>
              <w:t xml:space="preserve">Приобретение основных 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1 732,8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3 785,4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988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3.3.Благоустройство территории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501,4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2 042,4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750,0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3.4. Мероприятия по сносу зданий и сооружений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595,0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снесенных зданий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93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FC3D52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4. Организация </w:t>
            </w:r>
            <w:r w:rsidR="003B051A" w:rsidRPr="003B5300">
              <w:rPr>
                <w:sz w:val="16"/>
                <w:szCs w:val="16"/>
              </w:rPr>
              <w:t>библиотечного обслуживания населения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99 277,16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(125,0  областной бюджет,   99 152,16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127 179,4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127 079,4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139 714,2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(25,0  областной бюджет,   139 689,2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120 810,2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120 810,2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528,6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555,0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1493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FC3D52" w:rsidP="00FC3D52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</w:t>
            </w:r>
            <w:r w:rsidR="003B051A" w:rsidRPr="003B5300">
              <w:rPr>
                <w:sz w:val="16"/>
                <w:szCs w:val="16"/>
              </w:rPr>
              <w:t>осещениймуниципальных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4.1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муниципальных учреждениях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4 395,3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</w:t>
            </w:r>
            <w:r w:rsidRPr="003B5300">
              <w:rPr>
                <w:sz w:val="16"/>
                <w:szCs w:val="16"/>
                <w:lang w:val="en-US"/>
              </w:rPr>
              <w:t> </w:t>
            </w:r>
            <w:r w:rsidRPr="003B5300">
              <w:rPr>
                <w:sz w:val="16"/>
                <w:szCs w:val="16"/>
              </w:rPr>
              <w:t>582.1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4.2. Приобретение основных средств в муниципальные учреждения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838,26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986,1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</w:t>
            </w:r>
            <w:r w:rsidRPr="003B5300">
              <w:rPr>
                <w:sz w:val="16"/>
                <w:szCs w:val="16"/>
                <w:lang w:val="en-US"/>
              </w:rPr>
              <w:t>6</w:t>
            </w:r>
            <w:r w:rsidRPr="003B5300">
              <w:rPr>
                <w:sz w:val="16"/>
                <w:szCs w:val="16"/>
              </w:rPr>
              <w:t>71,8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МКУ Управление культуры ЗГО,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54 317,5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64 515,2 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81 659,562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72 986,7 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72 986,7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D52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5.1. Приобретение основных средств 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</w:t>
            </w:r>
            <w:r w:rsidR="00FC3D52" w:rsidRPr="003B5300">
              <w:rPr>
                <w:sz w:val="16"/>
                <w:szCs w:val="16"/>
              </w:rPr>
              <w:t>авление культуры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84,58403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2 310,124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укрепивших материально - техническую </w:t>
            </w:r>
            <w:r w:rsidRPr="003B5300">
              <w:rPr>
                <w:sz w:val="16"/>
                <w:szCs w:val="16"/>
              </w:rPr>
              <w:lastRenderedPageBreak/>
              <w:t>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5.2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33 820,0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53 699,21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48 846,871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37 569,5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37 569,5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137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143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«ДК«Булат»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770,0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1 199,45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мероприятий,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1908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2 836,4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(626,70525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166,59475 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2 043,1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1 741,2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(563,74281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149,85719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1 990,1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(750,74823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211,75177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1 027,6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экземпляров книжного фонда 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693108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671151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-108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-108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</w:tr>
      <w:tr w:rsidR="003B051A" w:rsidRPr="003B5300" w:rsidTr="006C635A">
        <w:trPr>
          <w:trHeight w:val="146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270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7.1. Обновление библиотечного фонда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2 001,3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990,0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977,5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1 027,6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270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7.2.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Модернизация библиотек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части комплектования книжных фондов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835,1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(626,70525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166,59475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41,8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751,2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(563,74281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149,85719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1 012,6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(750,74823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211,75177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50,1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8. Обеспечение комплектования, использования, учёта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13 157,9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(3 613,8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9 544,1 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15 392,9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(3 628,5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11 764,4 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15 842,805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(3 633,505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12 209,3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15 294,505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(3 633,505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11 661,0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местный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15 294,505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(3 633,505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11 661,0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местный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436309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  <w:lang w:val="en-US"/>
              </w:rPr>
              <w:t>4</w:t>
            </w:r>
            <w:r w:rsidRPr="003B5300">
              <w:rPr>
                <w:bCs/>
                <w:sz w:val="16"/>
                <w:szCs w:val="16"/>
              </w:rPr>
              <w:t>37107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437107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437107</w:t>
            </w:r>
          </w:p>
        </w:tc>
      </w:tr>
      <w:tr w:rsidR="003B051A" w:rsidRPr="003B5300" w:rsidTr="006C635A">
        <w:trPr>
          <w:trHeight w:val="1825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Количество выданных архивных справок, выписок и копий архивных документов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 xml:space="preserve">по запросам юридических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>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5454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</w:tr>
      <w:tr w:rsidR="003B051A" w:rsidRPr="003B5300" w:rsidTr="006C635A">
        <w:trPr>
          <w:trHeight w:val="113"/>
          <w:jc w:val="center"/>
        </w:trPr>
        <w:tc>
          <w:tcPr>
            <w:tcW w:w="15776" w:type="dxa"/>
            <w:gridSpan w:val="14"/>
            <w:tcBorders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8.1.Проведение работ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103,2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5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9. Создание условий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для людей с ограниченными возможностями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маломобильными группами посещения учреждений культуры и дополнительного образования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 xml:space="preserve">МБУК «ДК«Булат» - 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239,3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right="-37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 адаптированных для людей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с ограниченными возможностями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маломобильных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6 100,8 </w:t>
            </w:r>
          </w:p>
          <w:p w:rsidR="003B051A" w:rsidRPr="003B5300" w:rsidRDefault="003B051A" w:rsidP="003B051A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(5 505,24595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289,75405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305,8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230"/>
          <w:jc w:val="center"/>
        </w:trPr>
        <w:tc>
          <w:tcPr>
            <w:tcW w:w="15776" w:type="dxa"/>
            <w:gridSpan w:val="14"/>
            <w:tcBorders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10.1. Техническое оснащение муниципальных музеев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6 100,8</w:t>
            </w:r>
          </w:p>
          <w:p w:rsidR="003B051A" w:rsidRPr="003B5300" w:rsidRDefault="003B051A" w:rsidP="003B051A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(5 505,24595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289,75405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305,8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133,7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133,7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156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705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13. Региональный проект «Семейные ценности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8 421,1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(7 680,0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бюджет, 320,0  областной бюджет, 421,1 </w:t>
            </w:r>
            <w:r w:rsidRPr="003B5300">
              <w:rPr>
                <w:sz w:val="16"/>
                <w:szCs w:val="16"/>
              </w:rPr>
              <w:lastRenderedPageBreak/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2 224,0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(1 986,02538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126,77462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местный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27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8 421,1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(7 680,0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320,0 областной бюджет, 421,1 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переоснащенныхмуниципальных библиотек по модельному стандарту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13.2. Техническое оснащение муниципальных музеев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2 224,0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(1 986,02538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126,77462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111,2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315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503 413,748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845 452,84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642 295,947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3B5300">
              <w:rPr>
                <w:bCs/>
                <w:sz w:val="16"/>
                <w:szCs w:val="16"/>
              </w:rPr>
              <w:t>758 020,91928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540 552,51928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B051A" w:rsidRDefault="003B051A" w:rsidP="003B051A">
      <w:pPr>
        <w:sectPr w:rsidR="003B051A" w:rsidSect="006C635A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6C635A" w:rsidRPr="006C635A" w:rsidRDefault="006C635A" w:rsidP="006C635A">
      <w:pPr>
        <w:ind w:left="5103"/>
        <w:jc w:val="center"/>
      </w:pPr>
      <w:r w:rsidRPr="006C635A">
        <w:lastRenderedPageBreak/>
        <w:t>ПРИЛОЖЕНИЕ</w:t>
      </w:r>
      <w:r>
        <w:t xml:space="preserve"> 2</w:t>
      </w:r>
    </w:p>
    <w:p w:rsidR="006C635A" w:rsidRPr="006C635A" w:rsidRDefault="006C635A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635A">
        <w:rPr>
          <w:lang w:eastAsia="ar-SA"/>
        </w:rPr>
        <w:t>Утверждено</w:t>
      </w:r>
    </w:p>
    <w:p w:rsidR="006C635A" w:rsidRPr="006C635A" w:rsidRDefault="006C635A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635A">
        <w:rPr>
          <w:lang w:eastAsia="ar-SA"/>
        </w:rPr>
        <w:t>постановлением Администрации</w:t>
      </w:r>
    </w:p>
    <w:p w:rsidR="006C635A" w:rsidRPr="006C635A" w:rsidRDefault="006C635A" w:rsidP="006C635A">
      <w:pPr>
        <w:ind w:left="5103"/>
        <w:jc w:val="center"/>
      </w:pPr>
      <w:r w:rsidRPr="006C635A">
        <w:t>Златоустовского городского округа</w:t>
      </w:r>
    </w:p>
    <w:p w:rsidR="006C635A" w:rsidRPr="006C635A" w:rsidRDefault="00B21576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21576">
        <w:rPr>
          <w:lang w:eastAsia="ar-SA"/>
        </w:rPr>
        <w:t xml:space="preserve">от 26.12.2025 г. № </w:t>
      </w:r>
      <w:bookmarkStart w:id="0" w:name="_GoBack"/>
      <w:r w:rsidRPr="00B21576">
        <w:rPr>
          <w:lang w:eastAsia="ar-SA"/>
        </w:rPr>
        <w:t>496</w:t>
      </w:r>
      <w:bookmarkEnd w:id="0"/>
      <w:r w:rsidRPr="00B21576">
        <w:rPr>
          <w:lang w:eastAsia="ar-SA"/>
        </w:rPr>
        <w:t>-П/АДМ</w:t>
      </w:r>
    </w:p>
    <w:p w:rsidR="006C635A" w:rsidRDefault="006C635A" w:rsidP="003B051A"/>
    <w:p w:rsidR="003B051A" w:rsidRDefault="003B051A" w:rsidP="003B051A"/>
    <w:p w:rsidR="003B051A" w:rsidRDefault="003B051A" w:rsidP="00920CB0">
      <w:pPr>
        <w:jc w:val="center"/>
      </w:pPr>
      <w:r>
        <w:t>Перечень общественно-значимых мероприятий в области культуры</w:t>
      </w:r>
    </w:p>
    <w:p w:rsidR="003B051A" w:rsidRDefault="003B051A" w:rsidP="00920CB0">
      <w:pPr>
        <w:jc w:val="center"/>
      </w:pPr>
      <w:r>
        <w:t>на 2023 – 2027 годы</w:t>
      </w:r>
    </w:p>
    <w:p w:rsidR="003B051A" w:rsidRDefault="003B051A" w:rsidP="003B051A"/>
    <w:p w:rsidR="003B051A" w:rsidRDefault="003B051A" w:rsidP="00920CB0">
      <w:pPr>
        <w:ind w:firstLine="708"/>
        <w:jc w:val="both"/>
      </w:pPr>
      <w:r>
        <w:t xml:space="preserve">Расходы на подготовку и </w:t>
      </w:r>
      <w:r w:rsidR="00920CB0">
        <w:t xml:space="preserve">проведение общественно-значимых </w:t>
      </w:r>
      <w:r>
        <w:t>мероприятий в области культуры из средств местного бюджета:</w:t>
      </w:r>
    </w:p>
    <w:p w:rsidR="003B051A" w:rsidRDefault="003B051A" w:rsidP="00920CB0">
      <w:pPr>
        <w:ind w:firstLine="708"/>
        <w:jc w:val="both"/>
      </w:pPr>
      <w:r>
        <w:t>2023 г. – 33 820,0 тыс. рублей</w:t>
      </w:r>
    </w:p>
    <w:p w:rsidR="003B051A" w:rsidRDefault="003B051A" w:rsidP="00920CB0">
      <w:pPr>
        <w:ind w:firstLine="708"/>
        <w:jc w:val="both"/>
      </w:pPr>
      <w:r>
        <w:t>2024 г. – 53 699,21 тыс. рублей</w:t>
      </w:r>
    </w:p>
    <w:p w:rsidR="003B051A" w:rsidRDefault="003B051A" w:rsidP="00920CB0">
      <w:pPr>
        <w:ind w:firstLine="708"/>
        <w:jc w:val="both"/>
      </w:pPr>
      <w:r>
        <w:t>2025 г. – 48 846,871 тыс. рублей</w:t>
      </w:r>
    </w:p>
    <w:p w:rsidR="003B051A" w:rsidRDefault="003B051A" w:rsidP="00920CB0">
      <w:pPr>
        <w:ind w:firstLine="708"/>
        <w:jc w:val="both"/>
      </w:pPr>
      <w:r>
        <w:t>2026 г. – 37 569,5 тыс. рублей</w:t>
      </w:r>
    </w:p>
    <w:p w:rsidR="003B051A" w:rsidRDefault="003B051A" w:rsidP="00920CB0">
      <w:pPr>
        <w:ind w:firstLine="708"/>
        <w:jc w:val="both"/>
      </w:pPr>
      <w:r>
        <w:t>2027 г. – 37 569,5 тыс. рублей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03"/>
        <w:gridCol w:w="9136"/>
      </w:tblGrid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Новогодние мероприятия в снежно-ледовых городках и новогодних площадках Златоустовского городского округа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Городское торжественное собрание, посвященное Дню защитника Отечества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День оружейника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фестиваль детского театрального творчества «Арлекин»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инклюзивный фестиваль художественного творчества «Смотри на меня как на равного»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праздник «Проводы русской зимы. Масленица»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3B051A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3B051A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Всероссийская акция «Неделя детской и юношеской книги»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Торжественное мероприятие, посвященное Дню работника культуры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Цикл мероприятий, посвященных празднованию Победы в Великой Отечественной войне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 xml:space="preserve">Городская </w:t>
            </w:r>
            <w:r w:rsidRPr="003B051A">
              <w:rPr>
                <w:sz w:val="24"/>
                <w:szCs w:val="24"/>
              </w:rPr>
              <w:t xml:space="preserve">программа летнего </w:t>
            </w:r>
            <w:r w:rsidRPr="003B051A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3B051A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Городской национальный праздник «Сабантуй»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2"/>
                <w:sz w:val="24"/>
                <w:szCs w:val="24"/>
              </w:rPr>
              <w:t>Цикл мероприятий, посвященных  празднованию Дня города Златоуста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Бушуевский фестиваль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Конкурс современной хореографии и эстрадного танца «ЕВРАЗИЯ – ШАНС»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3B051A">
              <w:rPr>
                <w:spacing w:val="-9"/>
                <w:sz w:val="24"/>
                <w:szCs w:val="24"/>
              </w:rPr>
              <w:t>Мероприятия, посвященные Дню народного единства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Мероприятие, посвященное Дню семьи, любви и верности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Фестиваль-конкурс казачьей культуры «ЗЛАТА ГОРКА»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920CB0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3B051A" w:rsidRPr="003B051A">
              <w:rPr>
                <w:sz w:val="24"/>
                <w:szCs w:val="24"/>
              </w:rPr>
              <w:t>Библионочь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3B051A">
              <w:rPr>
                <w:spacing w:val="-4"/>
                <w:sz w:val="24"/>
                <w:szCs w:val="24"/>
              </w:rPr>
              <w:t>Именные премии Главы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 xml:space="preserve">«Мошенников. </w:t>
            </w:r>
            <w:r w:rsidRPr="003B051A">
              <w:rPr>
                <w:spacing w:val="-2"/>
                <w:sz w:val="24"/>
                <w:szCs w:val="24"/>
                <w:lang w:val="en-US"/>
              </w:rPr>
              <w:t>NET</w:t>
            </w:r>
            <w:r w:rsidRPr="003B051A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Краеведческая конференция им. Н.А. Косикова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 xml:space="preserve">Концертную программа в рамках Международного фестиваля музыкального юмора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 xml:space="preserve">И. Бутмана с участием Московского джазового оркестра п/у нар. арт. РФ И. Бутмана,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>О. Аккуратова (фортепиано, вокал), народного артиста РФ И. Бутмана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 «Мы рядом»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920CB0">
              <w:rPr>
                <w:sz w:val="24"/>
                <w:szCs w:val="24"/>
              </w:rPr>
              <w:br/>
              <w:t>и Т. Реус «</w:t>
            </w:r>
            <w:r w:rsidRPr="003B051A">
              <w:rPr>
                <w:sz w:val="24"/>
                <w:szCs w:val="24"/>
              </w:rPr>
              <w:t>Уральский перепляс</w:t>
            </w:r>
            <w:r w:rsidR="00920CB0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П.П.Бажова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Рождественские образовательные чтения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фестиваль «Родной язык - народное сокровище»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Цикл мероприятий, посвященных 200-летию со дня основания Златоустовского городского краеведческого музея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Концертная программа Магнитогорской государственной академической хоровой капеллы им. С.Г. Эйдинова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Цикл мероприятий, посвященных празднованию 1 мая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Программа для семей центров национальных культур «Если есть семья – значит счастлив я!»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Праздничное мероприятие ко Дню защиты детей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Антифашисткий слет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 Муниципального камерного хора «Нижний Новгород»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Конференция Ассоциации писателей Урала, Западной Сибири, Поволжья «Маминские дни»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B051A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Гала-концерт победителей Областного фестиваля творчества инвалидов «Смотри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на меня как на равного»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Профессиональный конкурс по пр</w:t>
            </w:r>
            <w:r w:rsidR="00075298">
              <w:rPr>
                <w:sz w:val="24"/>
                <w:szCs w:val="24"/>
              </w:rPr>
              <w:t>одвижению исторических изданий «</w:t>
            </w:r>
            <w:r w:rsidRPr="003B051A">
              <w:rPr>
                <w:sz w:val="24"/>
                <w:szCs w:val="24"/>
              </w:rPr>
              <w:t>История под обложкой</w:t>
            </w:r>
            <w:r w:rsidR="00075298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</w:t>
            </w:r>
            <w:r w:rsidR="00075298">
              <w:rPr>
                <w:sz w:val="24"/>
                <w:szCs w:val="24"/>
              </w:rPr>
              <w:t>родское торжественное собрание «</w:t>
            </w:r>
            <w:r w:rsidRPr="003B051A">
              <w:rPr>
                <w:sz w:val="24"/>
                <w:szCs w:val="24"/>
              </w:rPr>
              <w:t xml:space="preserve">Горный труд великой эпохи, посвященного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3-й годовщи</w:t>
            </w:r>
            <w:r w:rsidR="00075298">
              <w:rPr>
                <w:sz w:val="24"/>
                <w:szCs w:val="24"/>
              </w:rPr>
              <w:t>не присвоения Златоусту звания «</w:t>
            </w:r>
            <w:r w:rsidRPr="003B051A">
              <w:rPr>
                <w:sz w:val="24"/>
                <w:szCs w:val="24"/>
              </w:rPr>
              <w:t>Город трудовой доблести</w:t>
            </w:r>
            <w:r w:rsidR="00075298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Комплекс мероприятий, связанных с профилактикой беспризорности, безнадзорности, правонарушений несовершеннолетних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075298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- проект «</w:t>
            </w:r>
            <w:r w:rsidR="003B051A" w:rsidRPr="003B051A">
              <w:rPr>
                <w:sz w:val="24"/>
                <w:szCs w:val="24"/>
              </w:rPr>
              <w:t xml:space="preserve">Поле славы" из </w:t>
            </w:r>
            <w:r>
              <w:rPr>
                <w:sz w:val="24"/>
                <w:szCs w:val="24"/>
              </w:rPr>
              <w:t>литературно-хорового сериала «</w:t>
            </w:r>
            <w:r w:rsidR="003B051A" w:rsidRPr="003B051A">
              <w:rPr>
                <w:sz w:val="24"/>
                <w:szCs w:val="24"/>
              </w:rPr>
              <w:t>Голоса русской истории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 в рамках проекта «Слава побед и гордость трудовых свершений»</w:t>
            </w:r>
          </w:p>
        </w:tc>
      </w:tr>
    </w:tbl>
    <w:p w:rsidR="003B051A" w:rsidRPr="00E335AA" w:rsidRDefault="003B051A" w:rsidP="003B051A"/>
    <w:sectPr w:rsidR="003B051A" w:rsidRPr="00E335AA" w:rsidSect="003B051A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A2F" w:rsidRDefault="00DB6A2F">
      <w:r>
        <w:separator/>
      </w:r>
    </w:p>
  </w:endnote>
  <w:endnote w:type="continuationSeparator" w:id="1">
    <w:p w:rsidR="00DB6A2F" w:rsidRDefault="00DB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Вр-460730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Вр-460730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A2F" w:rsidRDefault="00DB6A2F">
      <w:r>
        <w:separator/>
      </w:r>
    </w:p>
  </w:footnote>
  <w:footnote w:type="continuationSeparator" w:id="1">
    <w:p w:rsidR="00DB6A2F" w:rsidRDefault="00DB6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2E8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3F7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3052"/>
    <w:rsid w:val="00075298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A9D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4A0C"/>
    <w:rsid w:val="001C1A94"/>
    <w:rsid w:val="001E53B4"/>
    <w:rsid w:val="00200670"/>
    <w:rsid w:val="002141BD"/>
    <w:rsid w:val="00250B0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2CA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51A"/>
    <w:rsid w:val="003B5300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4ECD"/>
    <w:rsid w:val="0052371C"/>
    <w:rsid w:val="00527A5C"/>
    <w:rsid w:val="00542857"/>
    <w:rsid w:val="00562567"/>
    <w:rsid w:val="00563E55"/>
    <w:rsid w:val="0056766F"/>
    <w:rsid w:val="0057186F"/>
    <w:rsid w:val="00587709"/>
    <w:rsid w:val="00595AE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635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E68"/>
    <w:rsid w:val="00832A4B"/>
    <w:rsid w:val="0083338B"/>
    <w:rsid w:val="00833AC7"/>
    <w:rsid w:val="00836954"/>
    <w:rsid w:val="00845228"/>
    <w:rsid w:val="00846174"/>
    <w:rsid w:val="008519E9"/>
    <w:rsid w:val="00853F7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CB0"/>
    <w:rsid w:val="0092331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576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55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82D"/>
    <w:rsid w:val="00CF1C4C"/>
    <w:rsid w:val="00CF7C54"/>
    <w:rsid w:val="00D04610"/>
    <w:rsid w:val="00D30D37"/>
    <w:rsid w:val="00D425CC"/>
    <w:rsid w:val="00D43709"/>
    <w:rsid w:val="00D47CBD"/>
    <w:rsid w:val="00D5364D"/>
    <w:rsid w:val="00D549B0"/>
    <w:rsid w:val="00D55976"/>
    <w:rsid w:val="00D650D1"/>
    <w:rsid w:val="00D74830"/>
    <w:rsid w:val="00D82961"/>
    <w:rsid w:val="00D96BA1"/>
    <w:rsid w:val="00D97CF1"/>
    <w:rsid w:val="00DB1693"/>
    <w:rsid w:val="00DB1EF8"/>
    <w:rsid w:val="00DB6A2F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2E86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A1D"/>
    <w:rsid w:val="00FA56C2"/>
    <w:rsid w:val="00FC3D5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B051A"/>
  </w:style>
  <w:style w:type="character" w:styleId="ac">
    <w:name w:val="page number"/>
    <w:basedOn w:val="a0"/>
    <w:rsid w:val="003B051A"/>
  </w:style>
  <w:style w:type="paragraph" w:customStyle="1" w:styleId="center1">
    <w:name w:val="center1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3B051A"/>
  </w:style>
  <w:style w:type="paragraph" w:styleId="ad">
    <w:name w:val="List Paragraph"/>
    <w:basedOn w:val="a"/>
    <w:uiPriority w:val="34"/>
    <w:qFormat/>
    <w:rsid w:val="003B051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3B051A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3B051A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3B051A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B051A"/>
    <w:rPr>
      <w:sz w:val="24"/>
      <w:szCs w:val="24"/>
    </w:rPr>
  </w:style>
  <w:style w:type="paragraph" w:customStyle="1" w:styleId="Default">
    <w:name w:val="Default"/>
    <w:rsid w:val="003B05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3B051A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3B051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051A"/>
    <w:rPr>
      <w:sz w:val="24"/>
      <w:szCs w:val="24"/>
    </w:rPr>
  </w:style>
  <w:style w:type="paragraph" w:customStyle="1" w:styleId="ConsPlusNonformat">
    <w:name w:val="ConsPlusNonformat"/>
    <w:uiPriority w:val="99"/>
    <w:rsid w:val="003B0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3B051A"/>
    <w:rPr>
      <w:rFonts w:cs="Times New Roman"/>
      <w:b/>
      <w:bCs/>
    </w:rPr>
  </w:style>
  <w:style w:type="paragraph" w:customStyle="1" w:styleId="ConsNormal">
    <w:name w:val="Con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3B051A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3B0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3B051A"/>
  </w:style>
  <w:style w:type="character" w:customStyle="1" w:styleId="apple-converted-space">
    <w:name w:val="apple-converted-space"/>
    <w:uiPriority w:val="99"/>
    <w:rsid w:val="003B051A"/>
    <w:rPr>
      <w:rFonts w:cs="Times New Roman"/>
    </w:rPr>
  </w:style>
  <w:style w:type="paragraph" w:customStyle="1" w:styleId="default0">
    <w:name w:val="default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3B051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B051A"/>
  </w:style>
  <w:style w:type="character" w:styleId="ac">
    <w:name w:val="page number"/>
    <w:basedOn w:val="a0"/>
    <w:rsid w:val="003B051A"/>
  </w:style>
  <w:style w:type="paragraph" w:customStyle="1" w:styleId="center1">
    <w:name w:val="center1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3B051A"/>
  </w:style>
  <w:style w:type="paragraph" w:styleId="ad">
    <w:name w:val="List Paragraph"/>
    <w:basedOn w:val="a"/>
    <w:uiPriority w:val="34"/>
    <w:qFormat/>
    <w:rsid w:val="003B051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3B051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3B051A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3B051A"/>
    <w:pPr>
      <w:ind w:firstLine="48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B051A"/>
    <w:rPr>
      <w:sz w:val="24"/>
      <w:szCs w:val="24"/>
      <w:lang w:val="x-none" w:eastAsia="x-none"/>
    </w:rPr>
  </w:style>
  <w:style w:type="paragraph" w:customStyle="1" w:styleId="Default">
    <w:name w:val="Default"/>
    <w:rsid w:val="003B05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3B051A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3B051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051A"/>
    <w:rPr>
      <w:sz w:val="24"/>
      <w:szCs w:val="24"/>
    </w:rPr>
  </w:style>
  <w:style w:type="paragraph" w:customStyle="1" w:styleId="ConsPlusNonformat">
    <w:name w:val="ConsPlusNonformat"/>
    <w:uiPriority w:val="99"/>
    <w:rsid w:val="003B0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3B051A"/>
    <w:rPr>
      <w:rFonts w:cs="Times New Roman"/>
      <w:b/>
      <w:bCs/>
    </w:rPr>
  </w:style>
  <w:style w:type="paragraph" w:customStyle="1" w:styleId="ConsNormal">
    <w:name w:val="Con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3B051A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3B0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3B051A"/>
  </w:style>
  <w:style w:type="character" w:customStyle="1" w:styleId="apple-converted-space">
    <w:name w:val="apple-converted-space"/>
    <w:uiPriority w:val="99"/>
    <w:rsid w:val="003B051A"/>
    <w:rPr>
      <w:rFonts w:cs="Times New Roman"/>
    </w:rPr>
  </w:style>
  <w:style w:type="paragraph" w:customStyle="1" w:styleId="default0">
    <w:name w:val="default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3B051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2026-01-20T10:19:00Z</dcterms:created>
  <dcterms:modified xsi:type="dcterms:W3CDTF">2026-01-20T10:19:00Z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