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7A8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7959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B87C6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7A8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19.05.2026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77A8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163-П/АДМ</w:t>
            </w:r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7C63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B87C63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B87C63">
            <w:pPr>
              <w:jc w:val="both"/>
            </w:pPr>
            <w:r>
              <w:t xml:space="preserve">О внесении изменений </w:t>
            </w:r>
            <w:r w:rsidR="00B87C63">
              <w:br/>
            </w:r>
            <w:r>
              <w:t>в постановление Администрации Златоустовского городского округа Челябинской области от 27.09.2016</w:t>
            </w:r>
            <w:r w:rsidR="00B87C63">
              <w:t> </w:t>
            </w:r>
            <w:r>
              <w:t>г. №</w:t>
            </w:r>
            <w:r w:rsidR="00B87C63">
              <w:t xml:space="preserve"> </w:t>
            </w:r>
            <w:r>
              <w:t xml:space="preserve">424-П «Об утверждении положения «Об именных премиях Главы Златоустовского городского округа одарённым детям, подросткам </w:t>
            </w:r>
            <w:r w:rsidR="00B87C63">
              <w:br/>
            </w:r>
            <w:r>
              <w:t>и их преподавателям (наставникам)»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B87C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7C63" w:rsidRDefault="00B87C63" w:rsidP="009416DA">
      <w:pPr>
        <w:widowControl w:val="0"/>
        <w:ind w:firstLine="709"/>
        <w:jc w:val="both"/>
      </w:pPr>
    </w:p>
    <w:p w:rsidR="009416DA" w:rsidRPr="00E4076D" w:rsidRDefault="00B87C63" w:rsidP="009416DA">
      <w:pPr>
        <w:widowControl w:val="0"/>
        <w:ind w:firstLine="709"/>
        <w:jc w:val="both"/>
      </w:pPr>
      <w:r w:rsidRPr="00B87C63">
        <w:t>В целях уточнения действующего муниципального правового акта,</w:t>
      </w:r>
    </w:p>
    <w:p w:rsidR="00CC4E26" w:rsidRPr="007B02FF" w:rsidRDefault="00F12903" w:rsidP="00B87C63">
      <w:pPr>
        <w:widowControl w:val="0"/>
        <w:ind w:firstLine="708"/>
        <w:jc w:val="both"/>
      </w:pPr>
      <w:r>
        <w:t>ПОСТАНОВЛЯЮ:</w:t>
      </w:r>
    </w:p>
    <w:p w:rsidR="00B87C63" w:rsidRDefault="00B87C63" w:rsidP="00B87C63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27.09.2016 г. № 424-П «Об утверждении положения «Об именных премиях Главы Златоустовского городского округа одарённым детям, подросткам и их преподавателям (наставникам)» (далее - Постановление) следующие изменения: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1) в преамбуле Постановления слова «в соответствии с постановлением Администрации Златоустовского городского округа от 30.12.2015 г. № 521-П «Об утверждении муниципальной программы «Развитие культуры </w:t>
      </w:r>
      <w:r>
        <w:br/>
        <w:t xml:space="preserve">в Златоустовском городском округе» заменить словами «в соответствии </w:t>
      </w:r>
      <w:r>
        <w:br/>
        <w:t>с постановлением Администрации Златоустовского городского округа Челябинской области от 18.11.2022 г. № 503-П/</w:t>
      </w:r>
      <w:proofErr w:type="gramStart"/>
      <w:r>
        <w:t>АДМ</w:t>
      </w:r>
      <w:proofErr w:type="gramEnd"/>
      <w:r>
        <w:t xml:space="preserve"> «Об утверждении муниципальной программы «Развитие культуры в Златоустовском городском округе»;</w:t>
      </w:r>
    </w:p>
    <w:p w:rsidR="00B87C63" w:rsidRDefault="00B87C63" w:rsidP="00B87C63">
      <w:pPr>
        <w:widowControl w:val="0"/>
        <w:ind w:firstLine="709"/>
        <w:jc w:val="both"/>
      </w:pPr>
      <w:r>
        <w:t>2) пункт 8 приложения к Постановлению (далее – Приложение) изложить в следующей редакции:</w:t>
      </w:r>
    </w:p>
    <w:p w:rsidR="00B87C63" w:rsidRDefault="00B87C63" w:rsidP="00B87C63">
      <w:pPr>
        <w:widowControl w:val="0"/>
        <w:ind w:firstLine="709"/>
        <w:jc w:val="both"/>
      </w:pPr>
      <w:r>
        <w:t>«8. Главой Златоустовского городского округа наряду с именной премией вручаются:</w:t>
      </w:r>
    </w:p>
    <w:p w:rsidR="00B87C63" w:rsidRDefault="00B87C63" w:rsidP="00B87C63">
      <w:pPr>
        <w:widowControl w:val="0"/>
        <w:ind w:firstLine="709"/>
        <w:jc w:val="both"/>
      </w:pPr>
      <w:r>
        <w:t>1) одаренным детям дипломы;</w:t>
      </w:r>
    </w:p>
    <w:p w:rsidR="00B87C63" w:rsidRDefault="00B87C63" w:rsidP="00B87C63">
      <w:pPr>
        <w:widowControl w:val="0"/>
        <w:ind w:firstLine="709"/>
        <w:jc w:val="both"/>
      </w:pPr>
      <w:r>
        <w:lastRenderedPageBreak/>
        <w:t>2) преподавателям-наставникам благодарственные письма.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Бланк диплома и благодарственного письма может быть оформлен </w:t>
      </w:r>
      <w:r>
        <w:br/>
        <w:t xml:space="preserve">в фоторамку. </w:t>
      </w:r>
    </w:p>
    <w:p w:rsidR="00B87C63" w:rsidRDefault="00B87C63" w:rsidP="00B87C63">
      <w:pPr>
        <w:widowControl w:val="0"/>
        <w:ind w:firstLine="709"/>
        <w:jc w:val="both"/>
      </w:pPr>
      <w:r>
        <w:t>При вручении дипломов одаренным детям и благодарственных писем преподавателю – наставнику (женщине) одновременно вручается букет цветов</w:t>
      </w:r>
      <w:proofErr w:type="gramStart"/>
      <w:r>
        <w:t>.»;</w:t>
      </w:r>
      <w:proofErr w:type="gramEnd"/>
    </w:p>
    <w:p w:rsidR="00B87C63" w:rsidRDefault="00B87C63" w:rsidP="00B87C63">
      <w:pPr>
        <w:widowControl w:val="0"/>
        <w:ind w:firstLine="709"/>
        <w:jc w:val="both"/>
      </w:pPr>
      <w:r>
        <w:t>3) пункт 10 Приложения изложить в следующей редакции:</w:t>
      </w:r>
    </w:p>
    <w:p w:rsidR="00B87C63" w:rsidRDefault="00B87C63" w:rsidP="00B87C63">
      <w:pPr>
        <w:widowControl w:val="0"/>
        <w:ind w:firstLine="709"/>
        <w:jc w:val="both"/>
      </w:pPr>
      <w:r>
        <w:t>«10. Выдвижение соискателей на присуждение именных премий осуществляется муниципальными учреждениями дополнительного образования в сфере культуры (детские музыкальные школы, детские школы искусств), учреждениями культуры Златоустовского городского округа (далее - учреждения).</w:t>
      </w:r>
    </w:p>
    <w:p w:rsidR="00B87C63" w:rsidRDefault="00B87C63" w:rsidP="00B87C63">
      <w:pPr>
        <w:widowControl w:val="0"/>
        <w:ind w:firstLine="709"/>
        <w:jc w:val="both"/>
      </w:pPr>
      <w:r>
        <w:t>Одаренные дети, которые ранее награждались именной премией, могут быть повторно выдвинуты на присуждение именной премии не ранее чем через один год после получения предыдущей именной премии</w:t>
      </w:r>
      <w:proofErr w:type="gramStart"/>
      <w:r>
        <w:t>.»;</w:t>
      </w:r>
      <w:proofErr w:type="gramEnd"/>
    </w:p>
    <w:p w:rsidR="00B87C63" w:rsidRDefault="00B87C63" w:rsidP="00B87C63">
      <w:pPr>
        <w:widowControl w:val="0"/>
        <w:ind w:firstLine="709"/>
        <w:jc w:val="both"/>
      </w:pPr>
      <w:r>
        <w:t>4) пункт 11 Приложения изложить в следующей редакции: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«11. При выдвижении соискателей (одаренных детей, подростков) </w:t>
      </w:r>
      <w:r>
        <w:br/>
        <w:t>на присуждение именной премии, учреждения предоставляют в муниципальное казённое учреждение Управление культуры Златоустовского городского округа следующие документы:</w:t>
      </w:r>
    </w:p>
    <w:p w:rsidR="00B87C63" w:rsidRDefault="00B87C63" w:rsidP="00B87C63">
      <w:pPr>
        <w:widowControl w:val="0"/>
        <w:ind w:firstLine="709"/>
        <w:jc w:val="both"/>
      </w:pPr>
      <w:r>
        <w:t>1) ходатайство на рассмотрение документов, подтверждающих достижения соискателя (детей, подростков) на присуждение именной премии;</w:t>
      </w:r>
    </w:p>
    <w:p w:rsidR="00B87C63" w:rsidRDefault="00B87C63" w:rsidP="00B87C63">
      <w:pPr>
        <w:widowControl w:val="0"/>
        <w:ind w:firstLine="709"/>
        <w:jc w:val="both"/>
      </w:pPr>
      <w:r>
        <w:t>2) характеристику на соискателя именной премии, подписанную руководителем учреждения.</w:t>
      </w:r>
    </w:p>
    <w:p w:rsidR="00B87C63" w:rsidRDefault="00B87C63" w:rsidP="00B87C63">
      <w:pPr>
        <w:widowControl w:val="0"/>
        <w:ind w:firstLine="709"/>
        <w:jc w:val="both"/>
      </w:pPr>
      <w:r>
        <w:t>3) сведения о соискателе: фамилия, имя, отчество, год рождения, полное наименование учреждения, предоставляющего документы, год обучения, перечень личных творческих достижений соискателя за прошедший учебный год с 01 сентября по 31 мая, фамилию, имя, отчество преподавателя (наставника).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4) копии документов, подтверждающих личные творческие достижения соискателя (дипломы, грамоты, благодарственные письма, публикации </w:t>
      </w:r>
      <w:r>
        <w:br/>
        <w:t xml:space="preserve">в средствах массовой информации, видео, аудио материалы и т.д.). </w:t>
      </w:r>
    </w:p>
    <w:p w:rsidR="00B87C63" w:rsidRDefault="00B87C63" w:rsidP="00B87C63">
      <w:pPr>
        <w:widowControl w:val="0"/>
        <w:ind w:firstLine="709"/>
        <w:jc w:val="both"/>
      </w:pPr>
      <w:proofErr w:type="gramStart"/>
      <w:r>
        <w:t xml:space="preserve">К рассмотрению не принимаются документы, подтверждающие участие </w:t>
      </w:r>
      <w:r>
        <w:br/>
        <w:t>в заочных и интернет-конкурсах (кроме учащихся по направлению «Изобразительное искусство» и результатов участия в рейтинговых конкурсах (перечень рейтинговых конкурсов ежегодно утверждается приказом Министра культуры), проведенных в дистанционном формате в период карантинных мероприятий);</w:t>
      </w:r>
      <w:proofErr w:type="gramEnd"/>
    </w:p>
    <w:p w:rsidR="00B87C63" w:rsidRDefault="00B87C63" w:rsidP="00B87C63">
      <w:pPr>
        <w:widowControl w:val="0"/>
        <w:ind w:firstLine="709"/>
        <w:jc w:val="both"/>
      </w:pPr>
      <w:r>
        <w:t>5) письменное согласие ребенка либо его родителей (законных представителей) на обработку его персональных данных;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6) копия паспорта (со 2 по 6 страницу) (для детей старше 14 лет) </w:t>
      </w:r>
      <w:r>
        <w:br/>
        <w:t>или свидетельства о рождении (для детей младше 14 лет);</w:t>
      </w:r>
    </w:p>
    <w:p w:rsidR="00B87C63" w:rsidRDefault="00B87C63" w:rsidP="00B87C63">
      <w:pPr>
        <w:widowControl w:val="0"/>
        <w:ind w:firstLine="709"/>
        <w:jc w:val="both"/>
      </w:pPr>
      <w:r>
        <w:t>7) копия индивидуального номера налогоплательщика;</w:t>
      </w:r>
    </w:p>
    <w:p w:rsidR="00B87C63" w:rsidRDefault="00B87C63" w:rsidP="00B87C63">
      <w:pPr>
        <w:widowControl w:val="0"/>
        <w:ind w:firstLine="709"/>
        <w:jc w:val="both"/>
      </w:pPr>
      <w:r>
        <w:t>8) копия свидетельства обязательного пенсионного страхования;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9) заявление ребенка либо его родителей (законных представителей) </w:t>
      </w:r>
      <w:r>
        <w:br/>
      </w:r>
      <w:r>
        <w:lastRenderedPageBreak/>
        <w:t>о перечислении премии;</w:t>
      </w:r>
    </w:p>
    <w:p w:rsidR="00B87C63" w:rsidRDefault="00B87C63" w:rsidP="00B87C63">
      <w:pPr>
        <w:widowControl w:val="0"/>
        <w:ind w:firstLine="709"/>
        <w:jc w:val="both"/>
      </w:pPr>
      <w:r>
        <w:t>10) банковские реквизиты счета, открытого ребенку для перечисления премии (реквизиты отделения банка на отдельном листе в печатном виде).</w:t>
      </w:r>
    </w:p>
    <w:p w:rsidR="00B87C63" w:rsidRDefault="00B87C63" w:rsidP="00B87C63">
      <w:pPr>
        <w:widowControl w:val="0"/>
        <w:ind w:firstLine="709"/>
        <w:jc w:val="both"/>
      </w:pPr>
      <w:r>
        <w:t>В случае если перечисление денежных средств ребенку будет производиться на счет его родителя (законного представителя), необходимо представить копию паспорта родителя (законного представителя) ребенка.</w:t>
      </w:r>
    </w:p>
    <w:p w:rsidR="00B87C63" w:rsidRDefault="00B87C63" w:rsidP="00B87C63">
      <w:pPr>
        <w:widowControl w:val="0"/>
        <w:ind w:firstLine="709"/>
        <w:jc w:val="both"/>
      </w:pPr>
      <w:r>
        <w:t>Документы предоставляются на бумажном носителе</w:t>
      </w:r>
      <w:proofErr w:type="gramStart"/>
      <w:r>
        <w:t>.».</w:t>
      </w:r>
      <w:proofErr w:type="gramEnd"/>
    </w:p>
    <w:p w:rsidR="00B87C63" w:rsidRDefault="00B87C63" w:rsidP="00B87C63">
      <w:pPr>
        <w:widowControl w:val="0"/>
        <w:ind w:firstLine="709"/>
        <w:jc w:val="both"/>
      </w:pPr>
      <w:r>
        <w:t>2. Настоящее постановление вступает в силу со дня его подписания.</w:t>
      </w:r>
    </w:p>
    <w:p w:rsidR="00B87C63" w:rsidRDefault="00B87C63" w:rsidP="00B87C6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87C63" w:rsidRDefault="00B87C63" w:rsidP="00B87C63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B87C63" w:rsidP="00B87C63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 w:rsidR="000C42FE"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B87C6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B87C6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A81537D" wp14:editId="4E6CCD8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87C63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83" w:rsidRDefault="00477A83">
      <w:r>
        <w:separator/>
      </w:r>
    </w:p>
  </w:endnote>
  <w:endnote w:type="continuationSeparator" w:id="0">
    <w:p w:rsidR="00477A83" w:rsidRDefault="0047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3" w:rsidRPr="00FF7009" w:rsidRDefault="00B87C6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Вр-485509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3" w:rsidRPr="00C9340B" w:rsidRDefault="00B87C6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Вр-485509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83" w:rsidRDefault="00477A83">
      <w:r>
        <w:separator/>
      </w:r>
    </w:p>
  </w:footnote>
  <w:footnote w:type="continuationSeparator" w:id="0">
    <w:p w:rsidR="00477A83" w:rsidRDefault="00477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3" w:rsidRPr="00FF7009" w:rsidRDefault="00B87C6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2619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C63" w:rsidRPr="00E045E8" w:rsidRDefault="00B87C6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42FE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77A83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7AB4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C63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19A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2026-05-20T10:27:00Z</dcterms:created>
  <dcterms:modified xsi:type="dcterms:W3CDTF">2026-05-20T10:27:00Z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