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FF" w:rsidRDefault="00B25AFF" w:rsidP="00013DA6">
      <w:r>
        <w:rPr>
          <w:b/>
          <w:noProof/>
        </w:rPr>
        <w:drawing>
          <wp:inline distT="0" distB="0" distL="0" distR="0">
            <wp:extent cx="6210300" cy="8772537"/>
            <wp:effectExtent l="19050" t="0" r="0" b="0"/>
            <wp:docPr id="8" name="Рисунок 8" descr="C:\Users\aabdulin\Desktop\проект program_27.09.2024 (на 2025 год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abdulin\Desktop\проект program_27.09.2024 (на 2025 год)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72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25AFF" w:rsidRDefault="00B25AFF" w:rsidP="00013DA6"/>
    <w:p w:rsidR="00B25AFF" w:rsidRDefault="00B25AFF" w:rsidP="00013DA6"/>
    <w:p w:rsidR="00B25AFF" w:rsidRDefault="00B25AFF" w:rsidP="00013DA6"/>
    <w:p w:rsidR="00B25AFF" w:rsidRDefault="00B25AFF" w:rsidP="00013DA6"/>
    <w:tbl>
      <w:tblPr>
        <w:tblW w:w="9571" w:type="dxa"/>
        <w:tblLook w:val="04A0"/>
      </w:tblPr>
      <w:tblGrid>
        <w:gridCol w:w="4785"/>
        <w:gridCol w:w="4786"/>
      </w:tblGrid>
      <w:tr w:rsidR="003D1535" w:rsidTr="00013DA6">
        <w:tc>
          <w:tcPr>
            <w:tcW w:w="4785" w:type="dxa"/>
            <w:shd w:val="clear" w:color="auto" w:fill="auto"/>
          </w:tcPr>
          <w:p w:rsidR="003D1535" w:rsidRDefault="003D1535">
            <w:pPr>
              <w:pStyle w:val="Default"/>
            </w:pPr>
          </w:p>
          <w:p w:rsidR="003D1535" w:rsidRDefault="003D1535">
            <w:pPr>
              <w:pStyle w:val="Default"/>
            </w:pPr>
          </w:p>
        </w:tc>
        <w:tc>
          <w:tcPr>
            <w:tcW w:w="4786" w:type="dxa"/>
            <w:shd w:val="clear" w:color="auto" w:fill="auto"/>
          </w:tcPr>
          <w:p w:rsidR="003D1535" w:rsidRDefault="00832A93">
            <w:pPr>
              <w:pStyle w:val="Default"/>
              <w:jc w:val="center"/>
            </w:pPr>
            <w:r>
              <w:t>Утверждена</w:t>
            </w:r>
          </w:p>
          <w:p w:rsidR="003D1535" w:rsidRDefault="00832A93">
            <w:pPr>
              <w:pStyle w:val="Default"/>
            </w:pPr>
            <w:r>
              <w:t xml:space="preserve">         распоряжением ОМС «КУИ ЗГО» </w:t>
            </w:r>
          </w:p>
          <w:p w:rsidR="003D1535" w:rsidRDefault="008F7E57">
            <w:pPr>
              <w:pStyle w:val="Default"/>
              <w:jc w:val="center"/>
            </w:pPr>
            <w:r>
              <w:t>от «</w:t>
            </w:r>
            <w:r w:rsidR="00013DA6">
              <w:t>__</w:t>
            </w:r>
            <w:r w:rsidR="00832A93">
              <w:t xml:space="preserve">» </w:t>
            </w:r>
            <w:r w:rsidR="00013DA6">
              <w:t>_________</w:t>
            </w:r>
            <w:r w:rsidR="00832A93" w:rsidRPr="008F7E57">
              <w:t xml:space="preserve"> 202</w:t>
            </w:r>
            <w:r w:rsidR="00013DA6">
              <w:t>4</w:t>
            </w:r>
            <w:r w:rsidR="00832A93" w:rsidRPr="008F7E57">
              <w:t xml:space="preserve"> г</w:t>
            </w:r>
            <w:r w:rsidR="00013DA6">
              <w:t>. №______</w:t>
            </w:r>
            <w:r w:rsidR="00832A93" w:rsidRPr="008F7E57">
              <w:t xml:space="preserve">       </w:t>
            </w:r>
          </w:p>
          <w:p w:rsidR="003D1535" w:rsidRDefault="003D1535">
            <w:pPr>
              <w:pStyle w:val="Default"/>
            </w:pPr>
          </w:p>
        </w:tc>
      </w:tr>
    </w:tbl>
    <w:p w:rsidR="003D1535" w:rsidRDefault="003D1535">
      <w:pPr>
        <w:pStyle w:val="Default"/>
        <w:jc w:val="center"/>
      </w:pPr>
    </w:p>
    <w:p w:rsidR="003D1535" w:rsidRDefault="00832A93">
      <w:pPr>
        <w:jc w:val="center"/>
      </w:pPr>
      <w:r>
        <w:rPr>
          <w:b/>
          <w:bCs/>
        </w:rPr>
        <w:t xml:space="preserve">Программа профилактики </w:t>
      </w:r>
      <w:r>
        <w:rPr>
          <w:rFonts w:eastAsia="Calibri"/>
          <w:b/>
          <w:bCs/>
          <w:lang w:eastAsia="en-US"/>
        </w:rPr>
        <w:t xml:space="preserve">рисков причинения вреда (ущерба) охраняемым законом ценностям в рамках муниципального земельного контроля, осуществляемого органом местного самоуправления «Комитет по управлению имуществом Златоустовского городского округа» </w:t>
      </w:r>
      <w:r>
        <w:rPr>
          <w:b/>
          <w:bCs/>
        </w:rPr>
        <w:t>на 202</w:t>
      </w:r>
      <w:r w:rsidR="00013DA6">
        <w:rPr>
          <w:b/>
          <w:bCs/>
        </w:rPr>
        <w:t>5</w:t>
      </w:r>
      <w:r>
        <w:rPr>
          <w:b/>
          <w:bCs/>
        </w:rPr>
        <w:t xml:space="preserve"> год </w:t>
      </w:r>
    </w:p>
    <w:p w:rsidR="003D1535" w:rsidRDefault="003D1535">
      <w:pPr>
        <w:ind w:firstLine="709"/>
        <w:jc w:val="both"/>
      </w:pPr>
    </w:p>
    <w:p w:rsidR="003D1535" w:rsidRDefault="00832A93">
      <w:pPr>
        <w:ind w:firstLine="709"/>
        <w:jc w:val="both"/>
      </w:pPr>
      <w:r>
        <w:t>Настоящая программа разработана в соответствии со</w:t>
      </w:r>
      <w:r>
        <w:rPr>
          <w:color w:val="0000FF"/>
        </w:rPr>
        <w:t xml:space="preserve"> </w:t>
      </w:r>
      <w:r>
        <w:rPr>
          <w:color w:val="000000"/>
        </w:rPr>
        <w:t>статьей 44</w:t>
      </w:r>
      <w: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</w:rPr>
        <w:t>постановлением</w:t>
      </w:r>
      <w: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3D1535" w:rsidRDefault="003D1535">
      <w:pPr>
        <w:pStyle w:val="Default"/>
        <w:rPr>
          <w:i/>
          <w:iCs/>
        </w:rPr>
      </w:pPr>
    </w:p>
    <w:p w:rsidR="003D1535" w:rsidRDefault="00832A93">
      <w:pPr>
        <w:pStyle w:val="Default"/>
        <w:jc w:val="center"/>
      </w:pPr>
      <w:r>
        <w:t>ПАСПОРТ</w:t>
      </w:r>
    </w:p>
    <w:tbl>
      <w:tblPr>
        <w:tblW w:w="9435" w:type="dxa"/>
        <w:tblInd w:w="1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3208"/>
        <w:gridCol w:w="6227"/>
      </w:tblGrid>
      <w:tr w:rsidR="003D1535">
        <w:trPr>
          <w:trHeight w:val="247"/>
        </w:trPr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D1535" w:rsidRDefault="00832A93">
            <w:pPr>
              <w:pStyle w:val="Default"/>
            </w:pPr>
            <w:r>
              <w:t xml:space="preserve">Наименование программы 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D1535" w:rsidRDefault="00832A93" w:rsidP="00013DA6">
            <w:pPr>
              <w:ind w:firstLine="432"/>
              <w:jc w:val="both"/>
            </w:pPr>
            <w:r>
              <w:t xml:space="preserve">Программа профилактики </w:t>
            </w:r>
            <w:r>
              <w:rPr>
                <w:rFonts w:eastAsia="Calibri"/>
                <w:lang w:eastAsia="en-US"/>
              </w:rPr>
              <w:t xml:space="preserve">рисков причинения вреда (ущерба) охраняемым законом ценностям в рамках муниципального земельного контроля, осуществляемого органом местного самоуправления «Комитет по управлению имуществом Златоустовского городского округа» </w:t>
            </w:r>
            <w:r>
              <w:t>на 202</w:t>
            </w:r>
            <w:r w:rsidR="00013DA6">
              <w:t>5</w:t>
            </w:r>
            <w:r>
              <w:t xml:space="preserve"> год </w:t>
            </w:r>
          </w:p>
        </w:tc>
      </w:tr>
      <w:tr w:rsidR="003D1535">
        <w:trPr>
          <w:trHeight w:val="273"/>
        </w:trPr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D1535" w:rsidRDefault="00832A93">
            <w:pPr>
              <w:pStyle w:val="Default"/>
            </w:pPr>
            <w:r>
              <w:t xml:space="preserve">Правовые основания разработки программы 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D1535" w:rsidRDefault="00832A93">
            <w:pPr>
              <w:ind w:firstLine="317"/>
              <w:jc w:val="both"/>
            </w:pPr>
            <w: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3D1535" w:rsidRDefault="00832A93">
            <w:pPr>
              <w:ind w:firstLine="31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3D1535">
        <w:trPr>
          <w:trHeight w:val="109"/>
        </w:trPr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D1535" w:rsidRDefault="00832A93">
            <w:pPr>
              <w:pStyle w:val="Default"/>
            </w:pPr>
            <w:r>
              <w:t xml:space="preserve">Разработчик программы 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D1535" w:rsidRDefault="00832A93">
            <w:pPr>
              <w:pStyle w:val="Default"/>
              <w:ind w:firstLine="432"/>
              <w:jc w:val="both"/>
            </w:pPr>
            <w:r>
              <w:t>Орган местного самоуправления «Комитет по управлению имуществом Златоустовского городского округа»</w:t>
            </w:r>
          </w:p>
        </w:tc>
      </w:tr>
      <w:tr w:rsidR="003D1535">
        <w:trPr>
          <w:trHeight w:val="523"/>
        </w:trPr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D1535" w:rsidRDefault="00832A93">
            <w:pPr>
              <w:pStyle w:val="Default"/>
            </w:pPr>
            <w:r>
              <w:t xml:space="preserve">Сроки и этапы реализации программы 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D1535" w:rsidRDefault="00832A93" w:rsidP="00013DA6">
            <w:pPr>
              <w:pStyle w:val="Default"/>
              <w:ind w:firstLine="432"/>
              <w:jc w:val="both"/>
            </w:pPr>
            <w:r>
              <w:rPr>
                <w:iCs/>
              </w:rPr>
              <w:t>202</w:t>
            </w:r>
            <w:r w:rsidR="00013DA6">
              <w:rPr>
                <w:iCs/>
              </w:rPr>
              <w:t>5</w:t>
            </w:r>
            <w:r>
              <w:rPr>
                <w:iCs/>
              </w:rPr>
              <w:t xml:space="preserve"> год</w:t>
            </w:r>
          </w:p>
        </w:tc>
      </w:tr>
      <w:tr w:rsidR="003D1535">
        <w:trPr>
          <w:trHeight w:val="247"/>
        </w:trPr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D1535" w:rsidRDefault="00832A93">
            <w:pPr>
              <w:pStyle w:val="Default"/>
            </w:pPr>
            <w:r>
              <w:t xml:space="preserve">Источники финансирования 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D1535" w:rsidRDefault="00832A93">
            <w:pPr>
              <w:pStyle w:val="Default"/>
              <w:ind w:firstLine="432"/>
              <w:jc w:val="both"/>
            </w:pPr>
            <w:r>
              <w:t xml:space="preserve">Финансовое обеспечение мероприятий Программы не предусмотрено </w:t>
            </w:r>
          </w:p>
        </w:tc>
      </w:tr>
      <w:tr w:rsidR="003D1535">
        <w:trPr>
          <w:trHeight w:val="274"/>
        </w:trPr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D1535" w:rsidRDefault="00832A93">
            <w:pPr>
              <w:pStyle w:val="Default"/>
            </w:pPr>
            <w:r>
              <w:t xml:space="preserve">Ожидаемые конечные результаты реализации программы 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D1535" w:rsidRDefault="00832A93">
            <w:pPr>
              <w:pStyle w:val="Default"/>
              <w:ind w:firstLine="43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3D1535" w:rsidRDefault="003D1535">
      <w:pPr>
        <w:pStyle w:val="ad"/>
        <w:ind w:firstLine="567"/>
        <w:jc w:val="both"/>
        <w:rPr>
          <w:b/>
        </w:rPr>
      </w:pPr>
    </w:p>
    <w:p w:rsidR="003D1535" w:rsidRDefault="003D1535">
      <w:pPr>
        <w:pStyle w:val="ad"/>
        <w:ind w:firstLine="567"/>
        <w:jc w:val="both"/>
        <w:rPr>
          <w:b/>
        </w:rPr>
      </w:pPr>
    </w:p>
    <w:p w:rsidR="003D1535" w:rsidRDefault="003D1535">
      <w:pPr>
        <w:pStyle w:val="ad"/>
        <w:ind w:firstLine="567"/>
        <w:jc w:val="both"/>
        <w:rPr>
          <w:b/>
        </w:rPr>
      </w:pPr>
    </w:p>
    <w:p w:rsidR="003D1535" w:rsidRDefault="003D1535">
      <w:pPr>
        <w:pStyle w:val="ad"/>
        <w:ind w:firstLine="567"/>
        <w:jc w:val="both"/>
        <w:rPr>
          <w:b/>
        </w:rPr>
      </w:pPr>
    </w:p>
    <w:p w:rsidR="003D1535" w:rsidRDefault="003D1535">
      <w:pPr>
        <w:pStyle w:val="ad"/>
        <w:ind w:firstLine="567"/>
        <w:jc w:val="both"/>
        <w:rPr>
          <w:b/>
        </w:rPr>
      </w:pPr>
    </w:p>
    <w:p w:rsidR="003D1535" w:rsidRDefault="003D1535">
      <w:pPr>
        <w:pStyle w:val="ad"/>
        <w:ind w:firstLine="567"/>
        <w:jc w:val="both"/>
        <w:rPr>
          <w:b/>
        </w:rPr>
      </w:pPr>
    </w:p>
    <w:p w:rsidR="003D1535" w:rsidRDefault="003D1535">
      <w:pPr>
        <w:pStyle w:val="ad"/>
        <w:ind w:firstLine="567"/>
        <w:jc w:val="both"/>
        <w:rPr>
          <w:b/>
        </w:rPr>
      </w:pPr>
    </w:p>
    <w:p w:rsidR="00013DA6" w:rsidRDefault="00013DA6">
      <w:pPr>
        <w:pStyle w:val="ad"/>
        <w:ind w:firstLine="567"/>
        <w:jc w:val="both"/>
        <w:rPr>
          <w:b/>
        </w:rPr>
      </w:pPr>
    </w:p>
    <w:p w:rsidR="003D1535" w:rsidRDefault="00832A93">
      <w:pPr>
        <w:pStyle w:val="ad"/>
        <w:ind w:firstLine="567"/>
        <w:jc w:val="center"/>
        <w:rPr>
          <w:b/>
        </w:rPr>
      </w:pPr>
      <w:r>
        <w:rPr>
          <w:b/>
        </w:rPr>
        <w:lastRenderedPageBreak/>
        <w:t>Раздел 1. Анализ и оценка состояния подконтрольной сферы.</w:t>
      </w:r>
    </w:p>
    <w:p w:rsidR="003D1535" w:rsidRDefault="003D1535">
      <w:pPr>
        <w:pStyle w:val="ad"/>
        <w:ind w:firstLine="567"/>
        <w:jc w:val="both"/>
        <w:rPr>
          <w:b/>
          <w:sz w:val="26"/>
          <w:szCs w:val="26"/>
        </w:rPr>
      </w:pPr>
    </w:p>
    <w:p w:rsidR="003D1535" w:rsidRDefault="00832A93">
      <w:pPr>
        <w:pStyle w:val="ad"/>
        <w:ind w:firstLine="567"/>
        <w:jc w:val="both"/>
      </w:pPr>
      <w:r>
        <w:rPr>
          <w:rFonts w:eastAsia="Calibri"/>
          <w:iCs/>
          <w:lang w:eastAsia="en-US"/>
        </w:rPr>
        <w:t>1. Вид осуществляемого муниципального контроля: муниципальный земельный контроль;</w:t>
      </w:r>
    </w:p>
    <w:p w:rsidR="003D1535" w:rsidRDefault="00832A93">
      <w:pPr>
        <w:pStyle w:val="ad"/>
        <w:ind w:firstLine="567"/>
        <w:jc w:val="both"/>
      </w:pPr>
      <w:r>
        <w:rPr>
          <w:rFonts w:eastAsia="Calibri"/>
          <w:iCs/>
          <w:lang w:eastAsia="en-US"/>
        </w:rPr>
        <w:t>2. Обзор вида муниципального контроля включает следующие сведения:</w:t>
      </w:r>
    </w:p>
    <w:p w:rsidR="003D1535" w:rsidRDefault="00832A93">
      <w:pPr>
        <w:pStyle w:val="ad"/>
        <w:spacing w:after="12"/>
        <w:ind w:firstLine="567"/>
        <w:jc w:val="both"/>
      </w:pPr>
      <w:proofErr w:type="gramStart"/>
      <w:r>
        <w:rPr>
          <w:rFonts w:eastAsia="Calibri"/>
          <w:iCs/>
          <w:lang w:eastAsia="en-US"/>
        </w:rPr>
        <w:t>1) объектами муниципального земельного контроля являются объекты земельных отношений (земли, земельные участки или части земельных участков), расположенные в границах муниципального образования, к которым предъявляются обязательные требования, а также действия (бездействия) граждан и организаций, в рамках которых должны соблюдаться обязательные требования, в том числе предъявляемые к гражданам  и организациям, осуществляющим деятельность, действия (бездействия);</w:t>
      </w:r>
      <w:proofErr w:type="gramEnd"/>
    </w:p>
    <w:p w:rsidR="003D1535" w:rsidRDefault="00832A93">
      <w:pPr>
        <w:pStyle w:val="ad"/>
        <w:ind w:firstLine="567"/>
        <w:jc w:val="both"/>
      </w:pPr>
      <w:r>
        <w:rPr>
          <w:rFonts w:eastAsia="Calibri"/>
          <w:iCs/>
          <w:lang w:eastAsia="en-US"/>
        </w:rPr>
        <w:t>2)   обязательные требования установлены:</w:t>
      </w:r>
    </w:p>
    <w:p w:rsidR="003D1535" w:rsidRDefault="00832A93">
      <w:pPr>
        <w:pStyle w:val="ad"/>
        <w:spacing w:after="12"/>
        <w:ind w:firstLine="567"/>
        <w:jc w:val="both"/>
      </w:pPr>
      <w:r>
        <w:t>- Федеральным законом от 31.07.2020 г. №248-ФЗ «О государственном контроле (надзоре) и муниципальном контроле в Российской Федерации»;</w:t>
      </w:r>
    </w:p>
    <w:p w:rsidR="003D1535" w:rsidRDefault="00832A93">
      <w:pPr>
        <w:pStyle w:val="ad"/>
        <w:ind w:firstLine="567"/>
        <w:jc w:val="both"/>
      </w:pPr>
      <w:r>
        <w:t>-   Статьей 72 Земельного Кодекса Российской Федерации</w:t>
      </w:r>
      <w:r>
        <w:rPr>
          <w:rFonts w:eastAsia="Calibri"/>
          <w:iCs/>
          <w:lang w:eastAsia="en-US"/>
        </w:rPr>
        <w:t>.</w:t>
      </w:r>
    </w:p>
    <w:p w:rsidR="003D1535" w:rsidRDefault="00832A93">
      <w:pPr>
        <w:pStyle w:val="ad"/>
        <w:ind w:firstLine="567"/>
        <w:jc w:val="both"/>
      </w:pPr>
      <w:r>
        <w:rPr>
          <w:rFonts w:eastAsia="Calibri"/>
          <w:iCs/>
          <w:lang w:eastAsia="en-US"/>
        </w:rPr>
        <w:t>За 202</w:t>
      </w:r>
      <w:r w:rsidR="00013DA6">
        <w:rPr>
          <w:rFonts w:eastAsia="Calibri"/>
          <w:iCs/>
          <w:lang w:eastAsia="en-US"/>
        </w:rPr>
        <w:t>4</w:t>
      </w:r>
      <w:r>
        <w:rPr>
          <w:rFonts w:eastAsia="Calibri"/>
          <w:iCs/>
          <w:lang w:eastAsia="en-US"/>
        </w:rPr>
        <w:t xml:space="preserve"> и 202</w:t>
      </w:r>
      <w:r w:rsidR="00013DA6">
        <w:rPr>
          <w:rFonts w:eastAsia="Calibri"/>
          <w:iCs/>
          <w:lang w:eastAsia="en-US"/>
        </w:rPr>
        <w:t>3</w:t>
      </w:r>
      <w:r>
        <w:rPr>
          <w:rFonts w:eastAsia="Calibri"/>
          <w:iCs/>
          <w:lang w:eastAsia="en-US"/>
        </w:rPr>
        <w:t xml:space="preserve"> г. проведено 0 внеплановых проверок, в связи с постановлением №336 от 10.03.2022 г. </w:t>
      </w:r>
      <w:r>
        <w:rPr>
          <w:rFonts w:eastAsia="Calibri"/>
          <w:iCs/>
          <w:color w:val="000000"/>
          <w:lang w:eastAsia="en-US"/>
        </w:rPr>
        <w:t>«Об особенностях организации и осуществления государственного контроля (надзора), муниципального контроля».</w:t>
      </w:r>
    </w:p>
    <w:p w:rsidR="003D1535" w:rsidRDefault="00832A93">
      <w:pPr>
        <w:pStyle w:val="ad"/>
        <w:ind w:firstLine="567"/>
        <w:jc w:val="both"/>
      </w:pPr>
      <w:r>
        <w:rPr>
          <w:rFonts w:eastAsia="Calibri"/>
          <w:iCs/>
          <w:color w:val="000000"/>
          <w:lang w:eastAsia="en-US"/>
        </w:rPr>
        <w:t>За 202</w:t>
      </w:r>
      <w:r w:rsidR="00013DA6">
        <w:rPr>
          <w:rFonts w:eastAsia="Calibri"/>
          <w:iCs/>
          <w:color w:val="000000"/>
          <w:lang w:eastAsia="en-US"/>
        </w:rPr>
        <w:t>4</w:t>
      </w:r>
      <w:r>
        <w:rPr>
          <w:rFonts w:eastAsia="Calibri"/>
          <w:iCs/>
          <w:color w:val="000000"/>
          <w:lang w:eastAsia="en-US"/>
        </w:rPr>
        <w:t xml:space="preserve"> год было выдано </w:t>
      </w:r>
      <w:r w:rsidR="00013DA6">
        <w:rPr>
          <w:rFonts w:eastAsia="Calibri"/>
          <w:iCs/>
          <w:color w:val="000000"/>
          <w:lang w:eastAsia="en-US"/>
        </w:rPr>
        <w:t>5</w:t>
      </w:r>
      <w:r>
        <w:rPr>
          <w:rFonts w:eastAsia="Calibri"/>
          <w:iCs/>
          <w:color w:val="000000"/>
          <w:lang w:eastAsia="en-US"/>
        </w:rPr>
        <w:t xml:space="preserve"> предостережений о недопустимости нарушения обязательных требований. </w:t>
      </w:r>
    </w:p>
    <w:p w:rsidR="003D1535" w:rsidRPr="00545194" w:rsidRDefault="00832A93">
      <w:pPr>
        <w:pStyle w:val="ad"/>
        <w:ind w:firstLine="850"/>
        <w:jc w:val="both"/>
        <w:rPr>
          <w:color w:val="auto"/>
        </w:rPr>
      </w:pPr>
      <w:r w:rsidRPr="00545194">
        <w:rPr>
          <w:iCs/>
          <w:color w:val="auto"/>
        </w:rPr>
        <w:t>Соответствующие статистические данные</w:t>
      </w:r>
      <w:r w:rsidRPr="00545194">
        <w:rPr>
          <w:i/>
          <w:iCs/>
          <w:color w:val="auto"/>
        </w:rPr>
        <w:t xml:space="preserve"> </w:t>
      </w:r>
      <w:r w:rsidRPr="00545194">
        <w:rPr>
          <w:iCs/>
          <w:color w:val="auto"/>
        </w:rPr>
        <w:t xml:space="preserve">за 2021 год составляет 11 плановых проверок, 3 из которых исключены из плана проверок Генеральной прокуратурой. </w:t>
      </w:r>
    </w:p>
    <w:p w:rsidR="003D1535" w:rsidRDefault="00832A93">
      <w:pPr>
        <w:jc w:val="both"/>
      </w:pPr>
      <w:r w:rsidRPr="00545194">
        <w:rPr>
          <w:color w:val="auto"/>
        </w:rPr>
        <w:tab/>
        <w:t xml:space="preserve">Профилактическое сопровождение контролируемых лиц было направлено </w:t>
      </w:r>
      <w:proofErr w:type="gramStart"/>
      <w:r w:rsidRPr="00545194">
        <w:rPr>
          <w:color w:val="auto"/>
        </w:rPr>
        <w:t>на</w:t>
      </w:r>
      <w:proofErr w:type="gramEnd"/>
      <w:r>
        <w:t>:</w:t>
      </w:r>
    </w:p>
    <w:p w:rsidR="003D1535" w:rsidRDefault="00832A93">
      <w:pPr>
        <w:ind w:firstLine="709"/>
        <w:jc w:val="both"/>
      </w:pPr>
      <w:r>
        <w:t xml:space="preserve">- </w:t>
      </w:r>
      <w:r>
        <w:rPr>
          <w:rFonts w:eastAsia="Calibri"/>
          <w:iCs/>
          <w:color w:val="000000"/>
          <w:lang w:eastAsia="en-US"/>
        </w:rPr>
        <w:t>ежемесячный мониторинг и актуализацию перечня нормативных правовых актов, соблюдение которых оценивалось в ходе проверок;</w:t>
      </w:r>
    </w:p>
    <w:p w:rsidR="003D1535" w:rsidRDefault="00832A93">
      <w:pPr>
        <w:pStyle w:val="ad"/>
        <w:jc w:val="both"/>
      </w:pPr>
      <w:r>
        <w:rPr>
          <w:rFonts w:eastAsia="Calibri"/>
          <w:iCs/>
          <w:color w:val="000000"/>
          <w:lang w:eastAsia="en-US"/>
        </w:rPr>
        <w:tab/>
        <w:t>- информирование и консультирование по вопросам соблюдения обязательных требований;</w:t>
      </w:r>
    </w:p>
    <w:p w:rsidR="003D1535" w:rsidRDefault="00832A93">
      <w:pPr>
        <w:ind w:firstLine="709"/>
        <w:jc w:val="both"/>
      </w:pPr>
      <w:r>
        <w:rPr>
          <w:rFonts w:eastAsia="Calibri"/>
          <w:iCs/>
          <w:color w:val="000000"/>
          <w:lang w:eastAsia="en-US"/>
        </w:rPr>
        <w:t>- объявление контролируемым лицам предостережения о недопустимости нарушения обязательных требований.</w:t>
      </w:r>
    </w:p>
    <w:p w:rsidR="003D1535" w:rsidRDefault="003D1535">
      <w:pPr>
        <w:pStyle w:val="ad"/>
        <w:jc w:val="both"/>
      </w:pPr>
    </w:p>
    <w:p w:rsidR="003D1535" w:rsidRDefault="00832A93">
      <w:pPr>
        <w:ind w:firstLine="709"/>
        <w:jc w:val="center"/>
        <w:outlineLvl w:val="1"/>
        <w:rPr>
          <w:b/>
          <w:bCs/>
        </w:rPr>
      </w:pPr>
      <w:r>
        <w:rPr>
          <w:b/>
          <w:bCs/>
        </w:rPr>
        <w:t>Раздел 2. Цели и задачи реализации программы профилактики</w:t>
      </w:r>
    </w:p>
    <w:p w:rsidR="003D1535" w:rsidRDefault="003D1535">
      <w:pPr>
        <w:jc w:val="both"/>
      </w:pPr>
    </w:p>
    <w:p w:rsidR="003D1535" w:rsidRDefault="00832A93">
      <w:pPr>
        <w:pStyle w:val="ae"/>
        <w:numPr>
          <w:ilvl w:val="0"/>
          <w:numId w:val="3"/>
        </w:num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Основными целями Программы профилактики являются:</w:t>
      </w:r>
    </w:p>
    <w:p w:rsidR="003D1535" w:rsidRDefault="00832A93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3D1535" w:rsidRDefault="00832A93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D1535" w:rsidRDefault="00832A93">
      <w:pPr>
        <w:ind w:firstLine="540"/>
        <w:jc w:val="both"/>
      </w:pPr>
      <w:r>
        <w:rPr>
          <w:rFonts w:eastAsia="Calibri"/>
          <w:lang w:eastAsia="en-US"/>
        </w:rPr>
        <w:t>3) 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D1535" w:rsidRDefault="003D1535">
      <w:pPr>
        <w:ind w:firstLine="540"/>
        <w:jc w:val="both"/>
        <w:rPr>
          <w:rFonts w:eastAsia="Calibri"/>
          <w:lang w:eastAsia="en-US"/>
        </w:rPr>
      </w:pPr>
    </w:p>
    <w:p w:rsidR="003D1535" w:rsidRDefault="00832A93">
      <w:pPr>
        <w:pStyle w:val="ae"/>
        <w:numPr>
          <w:ilvl w:val="0"/>
          <w:numId w:val="3"/>
        </w:numPr>
        <w:spacing w:after="0" w:line="240" w:lineRule="auto"/>
        <w:jc w:val="both"/>
        <w:outlineLvl w:val="2"/>
      </w:pPr>
      <w:r>
        <w:rPr>
          <w:rFonts w:ascii="Times New Roman" w:hAnsi="Times New Roman" w:cs="Times New Roman"/>
          <w:bCs/>
          <w:sz w:val="24"/>
          <w:szCs w:val="24"/>
        </w:rPr>
        <w:t>Проведение профилактических мероприятий направлено на решение следующих задач:</w:t>
      </w:r>
    </w:p>
    <w:p w:rsidR="003D1535" w:rsidRDefault="00832A93">
      <w:pPr>
        <w:pStyle w:val="ae"/>
        <w:numPr>
          <w:ilvl w:val="0"/>
          <w:numId w:val="1"/>
        </w:numPr>
        <w:tabs>
          <w:tab w:val="left" w:pos="85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рисков причинения вреда (ущерба) охраняемым законом ценностям;</w:t>
      </w:r>
    </w:p>
    <w:p w:rsidR="003D1535" w:rsidRDefault="00832A93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Внедрение способов профилактики, установленных Положением о виде муниципального земельного контроля; </w:t>
      </w:r>
    </w:p>
    <w:p w:rsidR="003D1535" w:rsidRDefault="00832A93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Повышение прозрачности деятельности контрольного органа; </w:t>
      </w:r>
    </w:p>
    <w:p w:rsidR="003D1535" w:rsidRDefault="00832A93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Уменьшение административной нагрузки на контролируемых лиц; </w:t>
      </w:r>
    </w:p>
    <w:p w:rsidR="003D1535" w:rsidRDefault="00832A93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Повышение уровня правовой грамотности контролируемых лиц; </w:t>
      </w:r>
    </w:p>
    <w:p w:rsidR="003D1535" w:rsidRDefault="003D1535">
      <w:pPr>
        <w:pStyle w:val="Default"/>
        <w:tabs>
          <w:tab w:val="left" w:pos="851"/>
        </w:tabs>
        <w:ind w:firstLine="567"/>
      </w:pPr>
    </w:p>
    <w:p w:rsidR="003D1535" w:rsidRDefault="003D1535">
      <w:pPr>
        <w:pStyle w:val="Default"/>
        <w:tabs>
          <w:tab w:val="left" w:pos="851"/>
        </w:tabs>
        <w:ind w:firstLine="567"/>
      </w:pPr>
    </w:p>
    <w:p w:rsidR="003D1535" w:rsidRDefault="003D1535">
      <w:pPr>
        <w:pStyle w:val="Default"/>
        <w:tabs>
          <w:tab w:val="left" w:pos="851"/>
        </w:tabs>
        <w:ind w:firstLine="567"/>
      </w:pPr>
    </w:p>
    <w:p w:rsidR="003D1535" w:rsidRDefault="003D1535">
      <w:pPr>
        <w:pStyle w:val="Default"/>
        <w:tabs>
          <w:tab w:val="left" w:pos="851"/>
        </w:tabs>
        <w:ind w:firstLine="567"/>
      </w:pPr>
    </w:p>
    <w:p w:rsidR="003D1535" w:rsidRDefault="003D1535">
      <w:pPr>
        <w:pStyle w:val="Default"/>
        <w:tabs>
          <w:tab w:val="left" w:pos="851"/>
        </w:tabs>
        <w:ind w:firstLine="567"/>
      </w:pPr>
    </w:p>
    <w:p w:rsidR="003D1535" w:rsidRDefault="003D1535">
      <w:pPr>
        <w:pStyle w:val="Default"/>
        <w:tabs>
          <w:tab w:val="left" w:pos="851"/>
        </w:tabs>
        <w:ind w:firstLine="567"/>
      </w:pPr>
    </w:p>
    <w:p w:rsidR="003D1535" w:rsidRDefault="003D1535">
      <w:pPr>
        <w:pStyle w:val="Default"/>
        <w:tabs>
          <w:tab w:val="left" w:pos="851"/>
        </w:tabs>
        <w:ind w:firstLine="567"/>
        <w:jc w:val="both"/>
      </w:pPr>
    </w:p>
    <w:p w:rsidR="003D1535" w:rsidRDefault="00832A93">
      <w:pPr>
        <w:pStyle w:val="Default"/>
        <w:jc w:val="center"/>
        <w:rPr>
          <w:b/>
          <w:bCs/>
        </w:rPr>
      </w:pPr>
      <w:r>
        <w:rPr>
          <w:b/>
          <w:bCs/>
        </w:rPr>
        <w:t>Раздел 3. Перечень профилактических мероприятий, сроки (периодичность) их проведения</w:t>
      </w:r>
    </w:p>
    <w:p w:rsidR="003D1535" w:rsidRDefault="003D1535">
      <w:pPr>
        <w:pStyle w:val="Default"/>
        <w:jc w:val="center"/>
        <w:rPr>
          <w:b/>
          <w:bCs/>
          <w:sz w:val="26"/>
          <w:szCs w:val="26"/>
        </w:rPr>
      </w:pPr>
    </w:p>
    <w:tbl>
      <w:tblPr>
        <w:tblW w:w="9870" w:type="dxa"/>
        <w:tblInd w:w="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2" w:type="dxa"/>
          <w:bottom w:w="102" w:type="dxa"/>
          <w:right w:w="62" w:type="dxa"/>
        </w:tblCellMar>
        <w:tblLook w:val="04A0"/>
      </w:tblPr>
      <w:tblGrid>
        <w:gridCol w:w="499"/>
        <w:gridCol w:w="3458"/>
        <w:gridCol w:w="2057"/>
        <w:gridCol w:w="1957"/>
        <w:gridCol w:w="1899"/>
      </w:tblGrid>
      <w:tr w:rsidR="003D1535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  <w:rPr>
                <w:iCs/>
              </w:rPr>
            </w:pPr>
            <w:r>
              <w:rPr>
                <w:iCs/>
              </w:rPr>
              <w:t xml:space="preserve">№ </w:t>
            </w:r>
            <w:proofErr w:type="spellStart"/>
            <w:proofErr w:type="gramStart"/>
            <w:r>
              <w:rPr>
                <w:iCs/>
              </w:rPr>
              <w:t>п</w:t>
            </w:r>
            <w:proofErr w:type="spellEnd"/>
            <w:proofErr w:type="gramEnd"/>
            <w:r>
              <w:rPr>
                <w:iCs/>
              </w:rPr>
              <w:t>/</w:t>
            </w:r>
            <w:proofErr w:type="spellStart"/>
            <w:r>
              <w:rPr>
                <w:iCs/>
              </w:rPr>
              <w:t>п</w:t>
            </w:r>
            <w:proofErr w:type="spellEnd"/>
          </w:p>
        </w:tc>
        <w:tc>
          <w:tcPr>
            <w:tcW w:w="3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  <w:rPr>
                <w:iCs/>
              </w:rPr>
            </w:pPr>
            <w:r>
              <w:rPr>
                <w:iCs/>
              </w:rPr>
              <w:t>Наименование и форма проведения мероприятия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  <w:rPr>
                <w:iCs/>
              </w:rPr>
            </w:pPr>
            <w:r>
              <w:rPr>
                <w:iCs/>
              </w:rPr>
              <w:t>Срок исполнения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ind w:left="-62" w:right="-62" w:firstLine="62"/>
              <w:jc w:val="center"/>
            </w:pPr>
            <w:r>
              <w:rPr>
                <w:iCs/>
              </w:rPr>
              <w:t xml:space="preserve">Структурное подразделение, </w:t>
            </w:r>
            <w:r>
              <w:rPr>
                <w:rFonts w:eastAsia="Calibri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  <w:rPr>
                <w:iCs/>
              </w:rPr>
            </w:pPr>
            <w:r>
              <w:rPr>
                <w:iCs/>
              </w:rPr>
              <w:t>Способ реализации</w:t>
            </w:r>
          </w:p>
        </w:tc>
      </w:tr>
      <w:tr w:rsidR="003D1535">
        <w:tc>
          <w:tcPr>
            <w:tcW w:w="98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  <w:rPr>
                <w:iCs/>
              </w:rPr>
            </w:pPr>
            <w:r>
              <w:rPr>
                <w:iCs/>
              </w:rPr>
              <w:t>1. Информирование</w:t>
            </w:r>
          </w:p>
        </w:tc>
      </w:tr>
      <w:tr w:rsidR="003D1535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93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  <w:rPr>
                <w:iCs/>
              </w:rPr>
            </w:pPr>
            <w:r>
              <w:rPr>
                <w:iCs/>
              </w:rPr>
              <w:t>Размещение на официальном сайте контрольного органа и актуализация следующей информации:</w:t>
            </w:r>
          </w:p>
          <w:p w:rsidR="003D1535" w:rsidRDefault="003D1535">
            <w:pPr>
              <w:jc w:val="center"/>
              <w:rPr>
                <w:iCs/>
              </w:rPr>
            </w:pPr>
          </w:p>
        </w:tc>
      </w:tr>
      <w:tr w:rsidR="003D1535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  <w:rPr>
                <w:iCs/>
              </w:rPr>
            </w:pPr>
            <w:r>
              <w:rPr>
                <w:iCs/>
              </w:rPr>
              <w:t>1.1.</w:t>
            </w:r>
          </w:p>
        </w:tc>
        <w:tc>
          <w:tcPr>
            <w:tcW w:w="3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</w:pPr>
            <w:r>
              <w:rPr>
                <w:rFonts w:eastAsia="Calibri"/>
                <w:lang w:eastAsia="en-US"/>
              </w:rPr>
              <w:t>тексты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актуализация</w:t>
            </w:r>
          </w:p>
          <w:p w:rsidR="003D1535" w:rsidRDefault="00832A93" w:rsidP="00013DA6">
            <w:pPr>
              <w:jc w:val="center"/>
            </w:pPr>
            <w:r>
              <w:rPr>
                <w:iCs/>
              </w:rPr>
              <w:t>1 квартал 202</w:t>
            </w:r>
            <w:r w:rsidR="00013DA6">
              <w:rPr>
                <w:iCs/>
              </w:rPr>
              <w:t>5</w:t>
            </w:r>
            <w:r>
              <w:rPr>
                <w:iCs/>
              </w:rPr>
              <w:t xml:space="preserve"> года (а также   ежемесячно)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  <w:rPr>
                <w:iCs/>
              </w:rPr>
            </w:pPr>
            <w:r>
              <w:rPr>
                <w:iCs/>
              </w:rPr>
              <w:t>Сектор по муниципальному земельному контролю</w:t>
            </w:r>
          </w:p>
        </w:tc>
        <w:tc>
          <w:tcPr>
            <w:tcW w:w="18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545194" w:rsidRDefault="00832A93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посредством размещения информации в разделе </w:t>
            </w:r>
          </w:p>
          <w:p w:rsidR="003D1535" w:rsidRDefault="00832A93">
            <w:pPr>
              <w:jc w:val="center"/>
            </w:pPr>
            <w:r>
              <w:rPr>
                <w:iCs/>
              </w:rPr>
              <w:t xml:space="preserve">«муниципальный контроль по использованию и охране земель ЗГО» на официальном сайте </w:t>
            </w:r>
          </w:p>
        </w:tc>
      </w:tr>
      <w:tr w:rsidR="003D1535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  <w:rPr>
                <w:iCs/>
              </w:rPr>
            </w:pPr>
            <w:r>
              <w:rPr>
                <w:iCs/>
              </w:rPr>
              <w:t>1.2.</w:t>
            </w:r>
          </w:p>
        </w:tc>
        <w:tc>
          <w:tcPr>
            <w:tcW w:w="3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</w:pPr>
            <w:r>
              <w:rPr>
                <w:rFonts w:eastAsia="Calibri"/>
                <w:lang w:eastAsia="en-US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первичное размещение </w:t>
            </w:r>
          </w:p>
          <w:p w:rsidR="003D1535" w:rsidRDefault="00832A93">
            <w:pPr>
              <w:jc w:val="center"/>
            </w:pPr>
            <w:r>
              <w:rPr>
                <w:iCs/>
              </w:rPr>
              <w:t>1 квартал 202</w:t>
            </w:r>
            <w:r w:rsidR="00013DA6">
              <w:rPr>
                <w:iCs/>
              </w:rPr>
              <w:t>5</w:t>
            </w:r>
            <w:r>
              <w:rPr>
                <w:iCs/>
              </w:rPr>
              <w:t xml:space="preserve"> года </w:t>
            </w:r>
          </w:p>
          <w:p w:rsidR="003D1535" w:rsidRDefault="00832A93">
            <w:pPr>
              <w:jc w:val="center"/>
              <w:rPr>
                <w:iCs/>
              </w:rPr>
            </w:pPr>
            <w:r>
              <w:rPr>
                <w:iCs/>
              </w:rPr>
              <w:t>актуализация ежемесячно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  <w:rPr>
                <w:iCs/>
              </w:rPr>
            </w:pPr>
            <w:r>
              <w:rPr>
                <w:iCs/>
              </w:rPr>
              <w:t>Сектор по муниципальному земельному контролю</w:t>
            </w:r>
          </w:p>
        </w:tc>
        <w:tc>
          <w:tcPr>
            <w:tcW w:w="18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3D1535">
            <w:pPr>
              <w:jc w:val="center"/>
            </w:pPr>
          </w:p>
        </w:tc>
      </w:tr>
      <w:tr w:rsidR="003D1535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  <w:rPr>
                <w:iCs/>
              </w:rPr>
            </w:pPr>
            <w:r>
              <w:rPr>
                <w:iCs/>
              </w:rPr>
              <w:t>1.3.</w:t>
            </w:r>
          </w:p>
        </w:tc>
        <w:tc>
          <w:tcPr>
            <w:tcW w:w="3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  <w:rPr>
                <w:iCs/>
              </w:rPr>
            </w:pPr>
            <w:r>
              <w:rPr>
                <w:iCs/>
              </w:rPr>
              <w:t>актуализация</w:t>
            </w:r>
          </w:p>
          <w:p w:rsidR="003D1535" w:rsidRDefault="00832A93" w:rsidP="00013DA6">
            <w:pPr>
              <w:jc w:val="center"/>
            </w:pPr>
            <w:r>
              <w:rPr>
                <w:iCs/>
              </w:rPr>
              <w:t>1 квартал 202</w:t>
            </w:r>
            <w:r w:rsidR="00013DA6">
              <w:rPr>
                <w:iCs/>
              </w:rPr>
              <w:t>5</w:t>
            </w:r>
            <w:r>
              <w:rPr>
                <w:iCs/>
              </w:rPr>
              <w:t xml:space="preserve"> года (а также   ежемесячно) 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  <w:rPr>
                <w:iCs/>
              </w:rPr>
            </w:pPr>
            <w:r>
              <w:rPr>
                <w:iCs/>
              </w:rPr>
              <w:t>Сектор по муниципальному земельному контролю</w:t>
            </w:r>
          </w:p>
        </w:tc>
        <w:tc>
          <w:tcPr>
            <w:tcW w:w="18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3D1535">
            <w:pPr>
              <w:jc w:val="center"/>
            </w:pPr>
          </w:p>
        </w:tc>
      </w:tr>
      <w:tr w:rsidR="003D1535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  <w:rPr>
                <w:iCs/>
              </w:rPr>
            </w:pPr>
            <w:r>
              <w:rPr>
                <w:iCs/>
              </w:rPr>
              <w:t>1.4.</w:t>
            </w:r>
          </w:p>
        </w:tc>
        <w:tc>
          <w:tcPr>
            <w:tcW w:w="3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программа профилактики рисков причинения вреда  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  <w:rPr>
                <w:iCs/>
              </w:rPr>
            </w:pPr>
            <w:r>
              <w:rPr>
                <w:iCs/>
              </w:rPr>
              <w:t>ежегодно в установленный законодательством срок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  <w:rPr>
                <w:iCs/>
              </w:rPr>
            </w:pPr>
            <w:r>
              <w:rPr>
                <w:iCs/>
              </w:rPr>
              <w:t>Сектор по муниципальному земельному контролю</w:t>
            </w:r>
          </w:p>
        </w:tc>
        <w:tc>
          <w:tcPr>
            <w:tcW w:w="18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</w:pPr>
            <w:r>
              <w:t xml:space="preserve">посредством размещения информации в разделе «муниципальный контроль по использованию и охране земель ЗГО» на </w:t>
            </w:r>
            <w:r>
              <w:lastRenderedPageBreak/>
              <w:t>официальном сайте контрольного органа</w:t>
            </w:r>
          </w:p>
        </w:tc>
      </w:tr>
      <w:tr w:rsidR="003D1535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  <w:rPr>
                <w:iCs/>
              </w:rPr>
            </w:pPr>
            <w:r>
              <w:rPr>
                <w:iCs/>
              </w:rPr>
              <w:t>1.5</w:t>
            </w:r>
          </w:p>
        </w:tc>
        <w:tc>
          <w:tcPr>
            <w:tcW w:w="3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</w:pPr>
            <w:proofErr w:type="gramStart"/>
            <w:r>
              <w:rPr>
                <w:rFonts w:eastAsia="Calibri"/>
                <w:lang w:eastAsia="en-US"/>
              </w:rPr>
              <w:t xml:space="preserve">руководства по соблюдению обязательных требований, установленных органами местного самоуправления и или руководства по соблюдению </w:t>
            </w:r>
            <w:r>
              <w:rPr>
                <w:rFonts w:eastAsia="Calibri"/>
                <w:lang w:eastAsia="en-US"/>
              </w:rPr>
              <w:lastRenderedPageBreak/>
              <w:t>обязательных требований, установленных федеральными нормативно-правовыми актами, сформированные федеральными органами исполнительной власти, осуществляющими выработку государственной политики в данной сфере</w:t>
            </w:r>
            <w:r>
              <w:rPr>
                <w:rFonts w:eastAsia="Calibri"/>
                <w:lang w:eastAsia="en-US"/>
              </w:rPr>
              <w:tab/>
            </w:r>
            <w:proofErr w:type="gramEnd"/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 w:rsidP="00013DA6">
            <w:pPr>
              <w:jc w:val="center"/>
            </w:pPr>
            <w:r>
              <w:rPr>
                <w:iCs/>
              </w:rPr>
              <w:lastRenderedPageBreak/>
              <w:t>актуализация 1 квартал 202</w:t>
            </w:r>
            <w:r w:rsidR="00013DA6">
              <w:rPr>
                <w:iCs/>
              </w:rPr>
              <w:t>5</w:t>
            </w:r>
            <w:r>
              <w:rPr>
                <w:iCs/>
              </w:rP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  <w:rPr>
                <w:iCs/>
              </w:rPr>
            </w:pPr>
            <w:r>
              <w:rPr>
                <w:iCs/>
              </w:rPr>
              <w:t>Сектор по муниципальному земельному контролю</w:t>
            </w:r>
          </w:p>
        </w:tc>
        <w:tc>
          <w:tcPr>
            <w:tcW w:w="18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3D1535">
            <w:pPr>
              <w:jc w:val="center"/>
            </w:pPr>
          </w:p>
        </w:tc>
      </w:tr>
      <w:tr w:rsidR="003D1535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1.6.</w:t>
            </w:r>
          </w:p>
        </w:tc>
        <w:tc>
          <w:tcPr>
            <w:tcW w:w="3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  <w:p w:rsidR="003D1535" w:rsidRDefault="003D1535">
            <w:pPr>
              <w:jc w:val="center"/>
              <w:rPr>
                <w:iCs/>
              </w:rPr>
            </w:pP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</w:pPr>
            <w:r>
              <w:rPr>
                <w:iCs/>
              </w:rPr>
              <w:t>1 квартал 202</w:t>
            </w:r>
            <w:r w:rsidR="00013DA6">
              <w:rPr>
                <w:iCs/>
              </w:rPr>
              <w:t>5</w:t>
            </w:r>
            <w:r>
              <w:rPr>
                <w:iCs/>
              </w:rPr>
              <w:t xml:space="preserve"> года</w:t>
            </w:r>
          </w:p>
          <w:p w:rsidR="003D1535" w:rsidRDefault="00832A93">
            <w:pPr>
              <w:jc w:val="center"/>
              <w:rPr>
                <w:iCs/>
              </w:rPr>
            </w:pPr>
            <w:r>
              <w:rPr>
                <w:iCs/>
              </w:rPr>
              <w:t>актуализация ежемесячно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  <w:rPr>
                <w:iCs/>
              </w:rPr>
            </w:pPr>
            <w:r>
              <w:rPr>
                <w:iCs/>
              </w:rPr>
              <w:t>Сектор по муниципальному земельному контролю</w:t>
            </w:r>
          </w:p>
        </w:tc>
        <w:tc>
          <w:tcPr>
            <w:tcW w:w="18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3D1535">
            <w:pPr>
              <w:jc w:val="center"/>
            </w:pPr>
          </w:p>
        </w:tc>
      </w:tr>
      <w:tr w:rsidR="003D1535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  <w:rPr>
                <w:iCs/>
              </w:rPr>
            </w:pPr>
            <w:r>
              <w:rPr>
                <w:iCs/>
              </w:rPr>
              <w:t>1.7.</w:t>
            </w:r>
          </w:p>
        </w:tc>
        <w:tc>
          <w:tcPr>
            <w:tcW w:w="3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сведения о способах получения консультаций по вопросам соблюдения обязательных требований (по телефону, посредством </w:t>
            </w:r>
            <w:proofErr w:type="spellStart"/>
            <w:r>
              <w:rPr>
                <w:rFonts w:eastAsia="Calibri"/>
                <w:lang w:eastAsia="en-US"/>
              </w:rPr>
              <w:t>видео-конференц-связи</w:t>
            </w:r>
            <w:proofErr w:type="spellEnd"/>
            <w:r>
              <w:rPr>
                <w:rFonts w:eastAsia="Calibri"/>
                <w:lang w:eastAsia="en-US"/>
              </w:rPr>
              <w:t>, на личном приеме либо в ходе проведения профилактического мероприятия, контрольного мероприятия)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 w:rsidP="00013DA6">
            <w:pPr>
              <w:jc w:val="center"/>
            </w:pPr>
            <w:r>
              <w:rPr>
                <w:iCs/>
              </w:rPr>
              <w:t>актуализация 1 квартал 202</w:t>
            </w:r>
            <w:r w:rsidR="00013DA6">
              <w:rPr>
                <w:iCs/>
              </w:rPr>
              <w:t>5</w:t>
            </w:r>
            <w:r>
              <w:rPr>
                <w:iCs/>
              </w:rPr>
              <w:t xml:space="preserve"> года (а также в случае необходимости внесения изменений)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  <w:rPr>
                <w:iCs/>
              </w:rPr>
            </w:pPr>
            <w:r>
              <w:rPr>
                <w:iCs/>
              </w:rPr>
              <w:t>Сектор по муниципальному земельному контролю</w:t>
            </w:r>
          </w:p>
        </w:tc>
        <w:tc>
          <w:tcPr>
            <w:tcW w:w="18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3D1535">
            <w:pPr>
              <w:jc w:val="center"/>
            </w:pPr>
          </w:p>
        </w:tc>
      </w:tr>
      <w:tr w:rsidR="003D1535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  <w:rPr>
                <w:iCs/>
              </w:rPr>
            </w:pPr>
            <w:r>
              <w:rPr>
                <w:iCs/>
              </w:rPr>
              <w:t>1.8.</w:t>
            </w:r>
          </w:p>
        </w:tc>
        <w:tc>
          <w:tcPr>
            <w:tcW w:w="3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доклад о муниципальном земельном контроле</w:t>
            </w:r>
          </w:p>
          <w:p w:rsidR="003D1535" w:rsidRDefault="003D153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</w:pPr>
            <w:r>
              <w:rPr>
                <w:iCs/>
                <w:lang w:val="en-US"/>
              </w:rPr>
              <w:t>I</w:t>
            </w:r>
            <w:r>
              <w:rPr>
                <w:iCs/>
              </w:rPr>
              <w:t xml:space="preserve"> квартал года следующего за отчетным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  <w:rPr>
                <w:iCs/>
              </w:rPr>
            </w:pPr>
            <w:r>
              <w:rPr>
                <w:iCs/>
              </w:rPr>
              <w:t>Сектор по муниципальному земельному контролю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</w:pPr>
            <w:r>
              <w:t>посредством размещения информации в разделе «муниципальный контроль по использованию и охране земель ЗГО» на официальном сайте контрольного органа</w:t>
            </w:r>
          </w:p>
        </w:tc>
      </w:tr>
      <w:tr w:rsidR="003D1535">
        <w:tc>
          <w:tcPr>
            <w:tcW w:w="98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Объявление предостережения</w:t>
            </w:r>
          </w:p>
        </w:tc>
      </w:tr>
      <w:tr w:rsidR="003D1535">
        <w:trPr>
          <w:trHeight w:val="738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  <w:rPr>
                <w:iCs/>
              </w:rPr>
            </w:pPr>
            <w:r>
              <w:rPr>
                <w:iCs/>
              </w:rPr>
              <w:t>2.1.</w:t>
            </w:r>
          </w:p>
        </w:tc>
        <w:tc>
          <w:tcPr>
            <w:tcW w:w="3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</w:pPr>
            <w:r>
              <w:rPr>
                <w:rFonts w:eastAsia="Calibri"/>
                <w:lang w:eastAsia="en-US"/>
              </w:rPr>
              <w:t xml:space="preserve">Выдача контролируемым лицам предостережения </w:t>
            </w:r>
            <w:r>
              <w:rPr>
                <w:rFonts w:eastAsia="Calibri"/>
                <w:iCs/>
                <w:lang w:eastAsia="en-US"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  <w:rPr>
                <w:iCs/>
              </w:rPr>
            </w:pPr>
            <w:r>
              <w:rPr>
                <w:iCs/>
              </w:rPr>
              <w:t>постоянно по мере необходимости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</w:pPr>
            <w:r>
              <w:rPr>
                <w:iCs/>
              </w:rPr>
              <w:t>Должностные лица, уполномоченные на осуществление муниципального земельного контроля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посредством выдачи лично или почтовым отправлением </w:t>
            </w:r>
          </w:p>
        </w:tc>
      </w:tr>
      <w:tr w:rsidR="003D1535">
        <w:tc>
          <w:tcPr>
            <w:tcW w:w="98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  <w:rPr>
                <w:iCs/>
              </w:rPr>
            </w:pPr>
            <w:r>
              <w:rPr>
                <w:iCs/>
              </w:rPr>
              <w:t>3. Консультирование</w:t>
            </w:r>
          </w:p>
        </w:tc>
      </w:tr>
      <w:tr w:rsidR="003D1535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  <w:rPr>
                <w:iCs/>
              </w:rPr>
            </w:pPr>
            <w:r>
              <w:rPr>
                <w:iCs/>
              </w:rPr>
              <w:t>3.</w:t>
            </w:r>
          </w:p>
        </w:tc>
        <w:tc>
          <w:tcPr>
            <w:tcW w:w="3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  <w:rPr>
                <w:iCs/>
              </w:rPr>
            </w:pPr>
            <w:r>
              <w:rPr>
                <w:iCs/>
              </w:rPr>
              <w:t>Разъяснение по вопросам:</w:t>
            </w:r>
          </w:p>
          <w:p w:rsidR="003D1535" w:rsidRDefault="00832A93">
            <w:pPr>
              <w:pStyle w:val="pt-consplusnormal-000024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after="0"/>
              <w:ind w:left="0" w:firstLine="0"/>
              <w:jc w:val="center"/>
            </w:pPr>
            <w:r>
              <w:rPr>
                <w:rStyle w:val="pt-a0-000004"/>
              </w:rPr>
              <w:t xml:space="preserve">положений нормативных </w:t>
            </w:r>
            <w:r>
              <w:rPr>
                <w:rStyle w:val="pt-a0-000004"/>
              </w:rPr>
              <w:lastRenderedPageBreak/>
              <w:t>правовых актов,</w:t>
            </w:r>
            <w:r>
              <w:t xml:space="preserve"> муниципальных правовых актов,</w:t>
            </w:r>
            <w:r>
              <w:rPr>
                <w:rStyle w:val="pt-a0-000004"/>
              </w:rPr>
              <w:t xml:space="preserve">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3D1535" w:rsidRDefault="00832A93">
            <w:pPr>
              <w:pStyle w:val="pt-consplusnormal-000012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after="0"/>
              <w:ind w:left="0" w:firstLine="0"/>
              <w:jc w:val="center"/>
            </w:pPr>
            <w:r>
              <w:rPr>
                <w:rStyle w:val="pt-a0-000004"/>
              </w:rPr>
              <w:t>положений нормативных правовых актов,</w:t>
            </w:r>
            <w:r>
              <w:t xml:space="preserve"> муниципальных правовых актов,</w:t>
            </w:r>
            <w:r>
              <w:rPr>
                <w:rStyle w:val="pt-a0-000004"/>
              </w:rPr>
              <w:t xml:space="preserve"> регламентирующих порядок осуществления муниципального земельного контроля;</w:t>
            </w:r>
          </w:p>
          <w:p w:rsidR="003D1535" w:rsidRDefault="00832A93">
            <w:pPr>
              <w:pStyle w:val="pt-consplusnormal-000012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after="0"/>
              <w:ind w:left="0" w:firstLine="0"/>
              <w:jc w:val="center"/>
            </w:pPr>
            <w:r>
              <w:rPr>
                <w:rStyle w:val="pt-a0-000004"/>
              </w:rPr>
              <w:t>порядка обжалования решений уполномоченных органов, действий (бездействия) должностных лиц, осуществляющих муниципальный земельный контроль;</w:t>
            </w:r>
          </w:p>
          <w:p w:rsidR="003D1535" w:rsidRDefault="00832A93">
            <w:pPr>
              <w:pStyle w:val="ae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</w:pPr>
            <w:r>
              <w:rPr>
                <w:iCs/>
              </w:rPr>
              <w:lastRenderedPageBreak/>
              <w:t xml:space="preserve">постоянно по мере поступления </w:t>
            </w:r>
            <w:r>
              <w:rPr>
                <w:iCs/>
              </w:rPr>
              <w:lastRenderedPageBreak/>
              <w:t>обращений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</w:pPr>
            <w:r>
              <w:lastRenderedPageBreak/>
              <w:t xml:space="preserve">Должностные лица, </w:t>
            </w:r>
            <w:r>
              <w:lastRenderedPageBreak/>
              <w:t>уполномоченные на осуществление муниципального земельного контроля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</w:pPr>
            <w:r>
              <w:rPr>
                <w:iCs/>
              </w:rPr>
              <w:lastRenderedPageBreak/>
              <w:t xml:space="preserve">устно, письменно, </w:t>
            </w:r>
            <w:r>
              <w:rPr>
                <w:iCs/>
              </w:rPr>
              <w:lastRenderedPageBreak/>
              <w:t>посредством ВКС, посредством размещения письменных ответов на запросы по электронной почте</w:t>
            </w:r>
          </w:p>
        </w:tc>
      </w:tr>
      <w:tr w:rsidR="003D1535">
        <w:tc>
          <w:tcPr>
            <w:tcW w:w="98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4. Профилактический визит</w:t>
            </w:r>
          </w:p>
        </w:tc>
      </w:tr>
      <w:tr w:rsidR="003D1535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4.</w:t>
            </w:r>
          </w:p>
        </w:tc>
        <w:tc>
          <w:tcPr>
            <w:tcW w:w="3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</w:pPr>
            <w:r>
              <w:rPr>
                <w:iCs/>
              </w:rPr>
              <w:t xml:space="preserve">Профилактическая беседа по месту осуществления деятельности контролируемого </w:t>
            </w:r>
            <w:r>
              <w:rPr>
                <w:rFonts w:eastAsia="Calibri"/>
                <w:lang w:eastAsia="en-US"/>
              </w:rPr>
              <w:t xml:space="preserve">либо путем использования </w:t>
            </w:r>
            <w:proofErr w:type="spellStart"/>
            <w:r>
              <w:rPr>
                <w:rFonts w:eastAsia="Calibri"/>
                <w:lang w:eastAsia="en-US"/>
              </w:rPr>
              <w:t>видео-конференц-связи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3D1535" w:rsidRDefault="00832A93">
            <w:pPr>
              <w:jc w:val="center"/>
            </w:pPr>
            <w:r>
              <w:rPr>
                <w:iCs/>
              </w:rPr>
              <w:t xml:space="preserve">Профилактический визит к лицам, </w:t>
            </w:r>
            <w:r>
              <w:rPr>
                <w:rFonts w:eastAsia="Calibri"/>
                <w:iCs/>
                <w:lang w:eastAsia="en-US"/>
              </w:rPr>
              <w:t xml:space="preserve"> приступившим к осуществлению деятельности в контролируемой сфере в 2022 году.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  <w:rPr>
                <w:iCs/>
              </w:rPr>
            </w:pPr>
            <w:r>
              <w:rPr>
                <w:iCs/>
              </w:rPr>
              <w:t>постоянно по мере необходимости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</w:pPr>
            <w:r>
              <w:rPr>
                <w:iCs/>
              </w:rPr>
              <w:t>Должностные лица, уполномоченные на осуществление муниципального земельного контроля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</w:pPr>
            <w:r>
              <w:rPr>
                <w:iCs/>
              </w:rPr>
              <w:t xml:space="preserve">Посредством посещения места осуществления деятельности контролируемого </w:t>
            </w:r>
            <w:r>
              <w:rPr>
                <w:rFonts w:eastAsia="Calibri"/>
                <w:lang w:eastAsia="en-US"/>
              </w:rPr>
              <w:t xml:space="preserve">либо путем использования </w:t>
            </w:r>
            <w:proofErr w:type="spellStart"/>
            <w:r>
              <w:rPr>
                <w:rFonts w:eastAsia="Calibri"/>
                <w:lang w:eastAsia="en-US"/>
              </w:rPr>
              <w:t>видео-конференц-связи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</w:tr>
    </w:tbl>
    <w:p w:rsidR="003D1535" w:rsidRDefault="003D1535">
      <w:pPr>
        <w:jc w:val="both"/>
        <w:rPr>
          <w:b/>
          <w:bCs/>
        </w:rPr>
      </w:pPr>
    </w:p>
    <w:p w:rsidR="003D1535" w:rsidRDefault="00832A93">
      <w:pPr>
        <w:ind w:firstLine="709"/>
        <w:jc w:val="center"/>
        <w:outlineLvl w:val="1"/>
        <w:rPr>
          <w:b/>
          <w:bCs/>
        </w:rPr>
      </w:pPr>
      <w:r>
        <w:rPr>
          <w:b/>
          <w:bCs/>
        </w:rPr>
        <w:t>Раздел 4. Показатели результативности и эффективности программы профилактики</w:t>
      </w:r>
    </w:p>
    <w:p w:rsidR="003D1535" w:rsidRDefault="003D1535">
      <w:pPr>
        <w:ind w:firstLine="709"/>
        <w:jc w:val="center"/>
        <w:outlineLvl w:val="1"/>
        <w:rPr>
          <w:b/>
          <w:bCs/>
          <w:sz w:val="26"/>
          <w:szCs w:val="26"/>
        </w:rPr>
      </w:pPr>
    </w:p>
    <w:tbl>
      <w:tblPr>
        <w:tblW w:w="9418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3D1535">
        <w:trPr>
          <w:trHeight w:val="527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</w:pPr>
            <w:r>
              <w:t>Величина</w:t>
            </w:r>
          </w:p>
        </w:tc>
      </w:tr>
      <w:tr w:rsidR="003D1535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</w:pPr>
            <w:r>
              <w:t>1.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both"/>
            </w:pPr>
            <w: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</w:pPr>
            <w:r>
              <w:t>100 %</w:t>
            </w:r>
          </w:p>
        </w:tc>
      </w:tr>
      <w:tr w:rsidR="003D1535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both"/>
            </w:pPr>
            <w: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1535" w:rsidRDefault="00832A93">
            <w:pPr>
              <w:jc w:val="center"/>
            </w:pPr>
            <w:r>
              <w:t>100% от запланированных</w:t>
            </w:r>
          </w:p>
        </w:tc>
      </w:tr>
    </w:tbl>
    <w:p w:rsidR="003D1535" w:rsidRDefault="00832A93">
      <w:pPr>
        <w:pStyle w:val="ad"/>
        <w:ind w:firstLine="709"/>
        <w:jc w:val="both"/>
      </w:pPr>
      <w:r>
        <w:lastRenderedPageBreak/>
        <w:t>Для оценки эффективности и результативности программы профилактики используются следующие оценки показателей:</w:t>
      </w:r>
    </w:p>
    <w:p w:rsidR="003D1535" w:rsidRDefault="003D1535">
      <w:pPr>
        <w:pStyle w:val="ad"/>
        <w:ind w:firstLine="709"/>
        <w:jc w:val="both"/>
      </w:pPr>
    </w:p>
    <w:tbl>
      <w:tblPr>
        <w:tblW w:w="9236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2517"/>
        <w:gridCol w:w="2054"/>
        <w:gridCol w:w="2637"/>
        <w:gridCol w:w="2028"/>
      </w:tblGrid>
      <w:tr w:rsidR="003D1535">
        <w:trPr>
          <w:trHeight w:val="420"/>
        </w:trPr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D1535" w:rsidRDefault="00832A93">
            <w:pPr>
              <w:jc w:val="center"/>
            </w:pPr>
            <w:r>
              <w:t>значение показателя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D1535" w:rsidRDefault="00832A93">
            <w:pPr>
              <w:jc w:val="center"/>
            </w:pPr>
            <w:r>
              <w:t>нет отклонения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D1535" w:rsidRDefault="00832A93">
            <w:pPr>
              <w:jc w:val="center"/>
            </w:pPr>
            <w:r>
              <w:t>отклонение больше 20%</w:t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D1535" w:rsidRDefault="00832A93">
            <w:pPr>
              <w:jc w:val="center"/>
            </w:pPr>
            <w:r>
              <w:t>отклонение больше 50 %</w:t>
            </w:r>
          </w:p>
        </w:tc>
      </w:tr>
      <w:tr w:rsidR="003D1535">
        <w:trPr>
          <w:trHeight w:val="420"/>
        </w:trPr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D1535" w:rsidRDefault="00832A93">
            <w:pPr>
              <w:ind w:firstLine="34"/>
              <w:jc w:val="center"/>
            </w:pPr>
            <w:r>
              <w:t>оценка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D1535" w:rsidRDefault="00832A93">
            <w:pPr>
              <w:jc w:val="center"/>
            </w:pPr>
            <w:r>
              <w:t>высокая эффективность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D1535" w:rsidRDefault="00832A93">
            <w:pPr>
              <w:jc w:val="center"/>
            </w:pPr>
            <w:r>
              <w:t>удовлетворительная эффективность</w:t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D1535" w:rsidRDefault="00832A93">
            <w:pPr>
              <w:jc w:val="center"/>
            </w:pPr>
            <w:r>
              <w:t>низкая эффективность</w:t>
            </w:r>
          </w:p>
        </w:tc>
      </w:tr>
    </w:tbl>
    <w:p w:rsidR="003D1535" w:rsidRDefault="003D1535">
      <w:pPr>
        <w:ind w:firstLine="709"/>
        <w:jc w:val="both"/>
      </w:pPr>
    </w:p>
    <w:p w:rsidR="003D1535" w:rsidRDefault="00832A93">
      <w:pPr>
        <w:ind w:firstLine="709"/>
        <w:jc w:val="both"/>
      </w:pPr>
      <w:r>
        <w:t>По окончании года контрольный орган подводит итоги реализации программы профилактики, размещая отчёт на сайте контрольного органа не позднее февраля 2025 года.</w:t>
      </w:r>
    </w:p>
    <w:p w:rsidR="003D1535" w:rsidRDefault="003D1535">
      <w:pPr>
        <w:pStyle w:val="ad"/>
        <w:ind w:firstLine="709"/>
        <w:jc w:val="both"/>
      </w:pPr>
    </w:p>
    <w:p w:rsidR="003D1535" w:rsidRDefault="003D1535">
      <w:pPr>
        <w:pStyle w:val="ad"/>
        <w:jc w:val="both"/>
        <w:rPr>
          <w:sz w:val="26"/>
          <w:szCs w:val="26"/>
        </w:rPr>
      </w:pPr>
    </w:p>
    <w:p w:rsidR="003D1535" w:rsidRDefault="003D1535">
      <w:pPr>
        <w:pStyle w:val="ad"/>
        <w:ind w:firstLine="709"/>
        <w:jc w:val="both"/>
      </w:pPr>
    </w:p>
    <w:sectPr w:rsidR="003D1535" w:rsidSect="003D1535">
      <w:headerReference w:type="default" r:id="rId8"/>
      <w:pgSz w:w="11906" w:h="16838"/>
      <w:pgMar w:top="765" w:right="850" w:bottom="851" w:left="1276" w:header="708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616" w:rsidRDefault="00175616" w:rsidP="003D1535">
      <w:r>
        <w:separator/>
      </w:r>
    </w:p>
  </w:endnote>
  <w:endnote w:type="continuationSeparator" w:id="0">
    <w:p w:rsidR="00175616" w:rsidRDefault="00175616" w:rsidP="003D1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Zen Hei Sharp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616" w:rsidRDefault="00175616" w:rsidP="003D1535">
      <w:r>
        <w:separator/>
      </w:r>
    </w:p>
  </w:footnote>
  <w:footnote w:type="continuationSeparator" w:id="0">
    <w:p w:rsidR="00175616" w:rsidRDefault="00175616" w:rsidP="003D1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535" w:rsidRDefault="003D153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2C7B"/>
    <w:multiLevelType w:val="multilevel"/>
    <w:tmpl w:val="366A098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963522"/>
    <w:multiLevelType w:val="multilevel"/>
    <w:tmpl w:val="447CA5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FAE3C69"/>
    <w:multiLevelType w:val="multilevel"/>
    <w:tmpl w:val="4E7425DE"/>
    <w:lvl w:ilvl="0">
      <w:start w:val="1"/>
      <w:numFmt w:val="decimal"/>
      <w:lvlText w:val="%1)"/>
      <w:lvlJc w:val="left"/>
      <w:pPr>
        <w:ind w:left="1226" w:hanging="375"/>
      </w:pPr>
      <w:rPr>
        <w:rFonts w:ascii="Times New Roman" w:eastAsia="Calibri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75F87CDB"/>
    <w:multiLevelType w:val="multilevel"/>
    <w:tmpl w:val="55C25E3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535"/>
    <w:rsid w:val="00013DA6"/>
    <w:rsid w:val="00103320"/>
    <w:rsid w:val="00175616"/>
    <w:rsid w:val="00334C98"/>
    <w:rsid w:val="003D1535"/>
    <w:rsid w:val="003E1424"/>
    <w:rsid w:val="00424640"/>
    <w:rsid w:val="004C191E"/>
    <w:rsid w:val="00545194"/>
    <w:rsid w:val="0060037A"/>
    <w:rsid w:val="00715E63"/>
    <w:rsid w:val="00832A93"/>
    <w:rsid w:val="008F7E57"/>
    <w:rsid w:val="009D152A"/>
    <w:rsid w:val="00AA3D75"/>
    <w:rsid w:val="00B25AFF"/>
    <w:rsid w:val="00CB6C87"/>
    <w:rsid w:val="00E97091"/>
    <w:rsid w:val="00FE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35"/>
    <w:pPr>
      <w:overflowPunct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sid w:val="003D1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footnote reference"/>
    <w:basedOn w:val="a0"/>
    <w:qFormat/>
    <w:rsid w:val="003D1535"/>
    <w:rPr>
      <w:vertAlign w:val="superscript"/>
    </w:rPr>
  </w:style>
  <w:style w:type="character" w:customStyle="1" w:styleId="a5">
    <w:name w:val="Текст концевой сноски Знак"/>
    <w:basedOn w:val="a0"/>
    <w:qFormat/>
    <w:rsid w:val="003D1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qFormat/>
    <w:rsid w:val="003D1535"/>
    <w:rPr>
      <w:vertAlign w:val="superscript"/>
    </w:rPr>
  </w:style>
  <w:style w:type="character" w:customStyle="1" w:styleId="-">
    <w:name w:val="Интернет-ссылка"/>
    <w:basedOn w:val="a0"/>
    <w:rsid w:val="003D1535"/>
    <w:rPr>
      <w:color w:val="0000FF"/>
      <w:u w:val="single"/>
    </w:rPr>
  </w:style>
  <w:style w:type="character" w:customStyle="1" w:styleId="pt-a0-000004">
    <w:name w:val="pt-a0-000004"/>
    <w:basedOn w:val="a0"/>
    <w:qFormat/>
    <w:rsid w:val="003D1535"/>
  </w:style>
  <w:style w:type="character" w:customStyle="1" w:styleId="a7">
    <w:name w:val="Верхний колонтитул Знак"/>
    <w:basedOn w:val="a0"/>
    <w:qFormat/>
    <w:rsid w:val="003D1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qFormat/>
    <w:rsid w:val="003D1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3D1535"/>
    <w:rPr>
      <w:rFonts w:ascii="Times New Roman" w:eastAsia="Calibri" w:hAnsi="Times New Roman" w:cs="Times New Roman"/>
      <w:sz w:val="26"/>
    </w:rPr>
  </w:style>
  <w:style w:type="character" w:customStyle="1" w:styleId="ListLabel2">
    <w:name w:val="ListLabel 2"/>
    <w:qFormat/>
    <w:rsid w:val="003D1535"/>
    <w:rPr>
      <w:rFonts w:ascii="Times New Roman" w:eastAsia="Calibri" w:hAnsi="Times New Roman" w:cs="Times New Roman"/>
      <w:sz w:val="24"/>
    </w:rPr>
  </w:style>
  <w:style w:type="character" w:customStyle="1" w:styleId="ListLabel3">
    <w:name w:val="ListLabel 3"/>
    <w:qFormat/>
    <w:rsid w:val="003D1535"/>
    <w:rPr>
      <w:rFonts w:ascii="Times New Roman" w:eastAsia="Calibri" w:hAnsi="Times New Roman" w:cs="Times New Roman"/>
      <w:sz w:val="24"/>
    </w:rPr>
  </w:style>
  <w:style w:type="character" w:customStyle="1" w:styleId="ListLabel4">
    <w:name w:val="ListLabel 4"/>
    <w:qFormat/>
    <w:rsid w:val="003D1535"/>
    <w:rPr>
      <w:rFonts w:ascii="Times New Roman" w:eastAsia="Calibri" w:hAnsi="Times New Roman" w:cs="Times New Roman"/>
      <w:sz w:val="24"/>
    </w:rPr>
  </w:style>
  <w:style w:type="paragraph" w:customStyle="1" w:styleId="a9">
    <w:name w:val="Заголовок"/>
    <w:basedOn w:val="a"/>
    <w:next w:val="aa"/>
    <w:qFormat/>
    <w:rsid w:val="003D1535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a">
    <w:name w:val="Body Text"/>
    <w:basedOn w:val="a"/>
    <w:rsid w:val="003D1535"/>
    <w:pPr>
      <w:spacing w:after="140" w:line="288" w:lineRule="auto"/>
    </w:pPr>
  </w:style>
  <w:style w:type="paragraph" w:styleId="ab">
    <w:name w:val="List"/>
    <w:basedOn w:val="aa"/>
    <w:rsid w:val="003D1535"/>
    <w:rPr>
      <w:rFonts w:cs="Lohit Devanagari"/>
    </w:rPr>
  </w:style>
  <w:style w:type="paragraph" w:customStyle="1" w:styleId="Caption">
    <w:name w:val="Caption"/>
    <w:basedOn w:val="a"/>
    <w:qFormat/>
    <w:rsid w:val="003D1535"/>
    <w:pPr>
      <w:suppressLineNumbers/>
      <w:spacing w:before="120" w:after="120"/>
    </w:pPr>
    <w:rPr>
      <w:rFonts w:cs="Lohit Devanagari"/>
      <w:i/>
      <w:iCs/>
    </w:rPr>
  </w:style>
  <w:style w:type="paragraph" w:styleId="ac">
    <w:name w:val="index heading"/>
    <w:basedOn w:val="a"/>
    <w:qFormat/>
    <w:rsid w:val="003D1535"/>
    <w:pPr>
      <w:suppressLineNumbers/>
    </w:pPr>
    <w:rPr>
      <w:rFonts w:cs="Lohit Devanagari"/>
    </w:rPr>
  </w:style>
  <w:style w:type="paragraph" w:customStyle="1" w:styleId="Default">
    <w:name w:val="Default"/>
    <w:qFormat/>
    <w:rsid w:val="003D1535"/>
    <w:pPr>
      <w:overflowPunct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qFormat/>
    <w:rsid w:val="003D1535"/>
    <w:pPr>
      <w:overflowPunct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e">
    <w:name w:val="List Paragraph"/>
    <w:basedOn w:val="a"/>
    <w:qFormat/>
    <w:rsid w:val="003D1535"/>
    <w:pPr>
      <w:spacing w:after="200" w:line="276" w:lineRule="auto"/>
      <w:ind w:left="720"/>
      <w:contextualSpacing/>
    </w:pPr>
    <w:rPr>
      <w:rFonts w:ascii="Calibri" w:eastAsia="Calibri" w:hAnsi="Calibri" w:cs="DejaVu Sans"/>
      <w:sz w:val="22"/>
      <w:szCs w:val="22"/>
      <w:lang w:eastAsia="en-US"/>
    </w:rPr>
  </w:style>
  <w:style w:type="paragraph" w:styleId="af">
    <w:name w:val="footnote text"/>
    <w:basedOn w:val="a"/>
    <w:qFormat/>
    <w:rsid w:val="003D1535"/>
    <w:rPr>
      <w:sz w:val="20"/>
      <w:szCs w:val="20"/>
    </w:rPr>
  </w:style>
  <w:style w:type="paragraph" w:customStyle="1" w:styleId="ConsPlusNormal">
    <w:name w:val="ConsPlusNormal"/>
    <w:qFormat/>
    <w:rsid w:val="003D1535"/>
    <w:pPr>
      <w:widowControl w:val="0"/>
      <w:overflowPunct w:val="0"/>
    </w:pPr>
    <w:rPr>
      <w:rFonts w:eastAsia="Times New Roman" w:cs="Calibri"/>
      <w:color w:val="00000A"/>
      <w:sz w:val="24"/>
      <w:szCs w:val="20"/>
      <w:lang w:eastAsia="ru-RU"/>
    </w:rPr>
  </w:style>
  <w:style w:type="paragraph" w:styleId="af0">
    <w:name w:val="endnote text"/>
    <w:basedOn w:val="a"/>
    <w:qFormat/>
    <w:rsid w:val="003D1535"/>
    <w:rPr>
      <w:sz w:val="20"/>
      <w:szCs w:val="20"/>
    </w:rPr>
  </w:style>
  <w:style w:type="paragraph" w:styleId="af1">
    <w:name w:val="Normal (Web)"/>
    <w:basedOn w:val="a"/>
    <w:qFormat/>
    <w:rsid w:val="003D1535"/>
    <w:pPr>
      <w:spacing w:before="280" w:after="280"/>
    </w:pPr>
  </w:style>
  <w:style w:type="paragraph" w:customStyle="1" w:styleId="pt-consplusnormal-000012">
    <w:name w:val="pt-consplusnormal-000012"/>
    <w:basedOn w:val="a"/>
    <w:qFormat/>
    <w:rsid w:val="003D1535"/>
    <w:pPr>
      <w:spacing w:before="280" w:after="280"/>
    </w:pPr>
  </w:style>
  <w:style w:type="paragraph" w:customStyle="1" w:styleId="pt-consplusnormal-000024">
    <w:name w:val="pt-consplusnormal-000024"/>
    <w:basedOn w:val="a"/>
    <w:qFormat/>
    <w:rsid w:val="003D1535"/>
    <w:pPr>
      <w:spacing w:before="280" w:after="280"/>
    </w:pPr>
  </w:style>
  <w:style w:type="paragraph" w:customStyle="1" w:styleId="Header">
    <w:name w:val="Header"/>
    <w:basedOn w:val="a"/>
    <w:rsid w:val="003D153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3D1535"/>
    <w:pPr>
      <w:tabs>
        <w:tab w:val="center" w:pos="4677"/>
        <w:tab w:val="right" w:pos="9355"/>
      </w:tabs>
    </w:pPr>
  </w:style>
  <w:style w:type="paragraph" w:customStyle="1" w:styleId="af2">
    <w:name w:val="Знак"/>
    <w:basedOn w:val="a"/>
    <w:qFormat/>
    <w:rsid w:val="003D15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qFormat/>
    <w:rsid w:val="003D1535"/>
    <w:pPr>
      <w:widowControl w:val="0"/>
      <w:overflowPunct w:val="0"/>
      <w:ind w:right="19772"/>
    </w:pPr>
    <w:rPr>
      <w:rFonts w:ascii="Courier New" w:eastAsia="Times New Roman" w:hAnsi="Courier New" w:cs="Courier New"/>
      <w:color w:val="00000A"/>
      <w:szCs w:val="20"/>
    </w:rPr>
  </w:style>
  <w:style w:type="paragraph" w:customStyle="1" w:styleId="af3">
    <w:name w:val="Содержимое таблицы"/>
    <w:basedOn w:val="a"/>
    <w:qFormat/>
    <w:rsid w:val="003D1535"/>
  </w:style>
  <w:style w:type="paragraph" w:styleId="af4">
    <w:name w:val="Balloon Text"/>
    <w:basedOn w:val="a"/>
    <w:link w:val="af5"/>
    <w:uiPriority w:val="99"/>
    <w:semiHidden/>
    <w:unhideWhenUsed/>
    <w:rsid w:val="008F7E5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F7E57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Артур Абдулин</cp:lastModifiedBy>
  <cp:revision>2</cp:revision>
  <cp:lastPrinted>2024-09-27T07:05:00Z</cp:lastPrinted>
  <dcterms:created xsi:type="dcterms:W3CDTF">2024-09-27T08:35:00Z</dcterms:created>
  <dcterms:modified xsi:type="dcterms:W3CDTF">2024-09-27T08:35:00Z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