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8" w:leader="none"/>
        </w:tabs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0" cy="85413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tabs>
          <w:tab w:val="right" w:pos="9638" w:leader="none"/>
        </w:tabs>
        <w:jc w:val="right"/>
        <w:rPr>
          <w:sz w:val="22"/>
          <w:szCs w:val="22"/>
        </w:rPr>
      </w:pPr>
      <w:r>
        <w:rPr/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ОМС «КУИ ЗГО» </w:t>
            </w:r>
          </w:p>
          <w:p>
            <w:pPr>
              <w:pStyle w:val="Default"/>
              <w:jc w:val="center"/>
              <w:rPr/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25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>нояб</w:t>
            </w:r>
            <w:r>
              <w:rPr>
                <w:sz w:val="24"/>
                <w:szCs w:val="24"/>
                <w:u w:val="single"/>
              </w:rPr>
              <w:t>ря</w:t>
            </w:r>
            <w:r>
              <w:rPr>
                <w:sz w:val="24"/>
                <w:szCs w:val="24"/>
                <w:u w:val="single"/>
              </w:rPr>
              <w:t xml:space="preserve">_ </w:t>
            </w:r>
            <w:r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 xml:space="preserve">3 </w:t>
            </w:r>
            <w:r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  <w:u w:val="single"/>
              </w:rPr>
              <w:t>1268-р</w:t>
            </w:r>
          </w:p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rFonts w:eastAsia="Calibri"/>
          <w:b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</w:r>
      <w:r>
        <w:rPr>
          <w:b/>
          <w:bCs/>
          <w:sz w:val="24"/>
          <w:szCs w:val="24"/>
        </w:rPr>
        <w:t xml:space="preserve">на 2023 год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со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статьей 44</w:t>
      </w:r>
      <w:r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>
      <w:pPr>
        <w:pStyle w:val="Defaul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tbl>
      <w:tblPr>
        <w:tblW w:w="9435" w:type="dxa"/>
        <w:jc w:val="left"/>
        <w:tblInd w:w="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6225"/>
      </w:tblGrid>
      <w:tr>
        <w:trPr>
          <w:trHeight w:val="247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профилактики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рисков причинения вреда (ущерба) охраняемым законом ценностям в рамках муниципального земельного контроля, осуществляемого органом местного самоуправления «Комитет по управлению имуществом Златоустовского городского округа» </w:t>
            </w:r>
            <w:r>
              <w:rPr>
                <w:sz w:val="24"/>
                <w:szCs w:val="24"/>
              </w:rPr>
              <w:t xml:space="preserve">на 2023 год </w:t>
            </w:r>
          </w:p>
        </w:tc>
      </w:tr>
      <w:tr>
        <w:trPr>
          <w:trHeight w:val="273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>
            <w:pPr>
              <w:pStyle w:val="Normal"/>
              <w:ind w:left="0" w:right="0" w:firstLine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>
        <w:trPr>
          <w:trHeight w:val="109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 «Комитет по управлению имуществом Златоустовского городского округа»</w:t>
            </w:r>
          </w:p>
        </w:tc>
      </w:tr>
      <w:tr>
        <w:trPr>
          <w:trHeight w:val="523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2023 год</w:t>
            </w:r>
          </w:p>
        </w:tc>
      </w:tr>
      <w:tr>
        <w:trPr>
          <w:trHeight w:val="247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0" w:right="0"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мероприятий Программы не предусмотрено </w:t>
            </w:r>
          </w:p>
        </w:tc>
      </w:tr>
      <w:tr>
        <w:trPr>
          <w:trHeight w:val="274" w:hRule="atLeast"/>
        </w:trPr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ind w:left="0" w:right="0" w:firstLine="4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0" w:right="0"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Раздел 1. Анализ и оценка состояния подконтрольной сферы.</w:t>
      </w:r>
    </w:p>
    <w:p>
      <w:pPr>
        <w:pStyle w:val="NoSpacing"/>
        <w:ind w:left="0" w:right="0"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1. Вид осуществляемого муниципального контроля: муниципальный земельный контроль;</w:t>
      </w:r>
    </w:p>
    <w:p>
      <w:pPr>
        <w:pStyle w:val="NoSpacing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2. Обзор вида муниципального контроля включает следующие сведения:</w:t>
      </w:r>
    </w:p>
    <w:p>
      <w:pPr>
        <w:pStyle w:val="NoSpacing"/>
        <w:spacing w:before="0" w:after="12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1) 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(бездействия) граждан и организаций, в рамках которых должны соблюдаться обязательные требования, в том числе предъявляемые к гражданам  и организациям, осуществляющим деятельность, действия (бездействия);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2)   обязательные требования установлены:</w:t>
      </w:r>
    </w:p>
    <w:p>
      <w:pPr>
        <w:pStyle w:val="NoSpacing"/>
        <w:spacing w:before="0" w:after="1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31.07.2020 г. №248-ФЗ «О государственном контроле (надзоре) и муниципальном контроле в Российской Федерации»;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Статьей 72 Земельного Кодекса Российской Федерации</w:t>
      </w:r>
      <w:r>
        <w:rPr>
          <w:rFonts w:eastAsia="Calibri"/>
          <w:iCs/>
          <w:sz w:val="24"/>
          <w:szCs w:val="24"/>
          <w:lang w:eastAsia="en-US"/>
        </w:rPr>
        <w:t>.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За 2022 г. проведено 0 внеплановых проверок, в связи с постановлением №336 от 10.03.2022 г. </w:t>
      </w:r>
      <w:r>
        <w:rPr>
          <w:rFonts w:eastAsia="Calibri"/>
          <w:iCs/>
          <w:color w:val="000000"/>
          <w:sz w:val="24"/>
          <w:szCs w:val="24"/>
          <w:lang w:eastAsia="en-US"/>
        </w:rPr>
        <w:t>«Об особенностях организации и осуществления государственного контроля (надзора), муниципального контроля»</w:t>
      </w:r>
    </w:p>
    <w:p>
      <w:pPr>
        <w:pStyle w:val="NoSpacing"/>
        <w:spacing w:before="0" w:after="0"/>
        <w:ind w:left="0" w:right="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Соответствующие статистические данные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за 2021 год составляет 11 плановых проверок, 3 из которых исключены из плана проверок Генеральной прокуратурой.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Профилактическое сопровождение контролируемых лиц было направлено на: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iCs/>
          <w:color w:val="000000"/>
          <w:sz w:val="24"/>
          <w:szCs w:val="24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ab/>
        <w:t>- информирование и консультирование по вопросам соблюдения обязательных требований;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rFonts w:eastAsia="Calibri"/>
          <w:iCs/>
          <w:color w:val="000000"/>
          <w:sz w:val="24"/>
          <w:szCs w:val="24"/>
          <w:lang w:eastAsia="en-US"/>
        </w:rPr>
        <w:t>- объявление контролируемым лицам предостережения о недопустимости нарушения обязательных требований.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>
      <w:pPr>
        <w:pStyle w:val="Normal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left="0" w:right="0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val="left" w:pos="855" w:leader="none"/>
        </w:tabs>
        <w:spacing w:lineRule="auto" w:line="240" w:before="0" w:after="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способов профилактики, установленных Положением о виде муниципального земельного контроля;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прозрачности деятельности контрольного органа;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административной нагрузки на контролируемых лиц; </w:t>
      </w:r>
    </w:p>
    <w:p>
      <w:pPr>
        <w:pStyle w:val="Default"/>
        <w:numPr>
          <w:ilvl w:val="0"/>
          <w:numId w:val="1"/>
        </w:numPr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правовой грамотности контролируемых лиц; </w:t>
      </w:r>
    </w:p>
    <w:p>
      <w:pPr>
        <w:pStyle w:val="Default"/>
        <w:tabs>
          <w:tab w:val="left" w:pos="851" w:leader="none"/>
        </w:tabs>
        <w:ind w:left="0" w:right="0" w:firstLine="567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tabs>
          <w:tab w:val="left" w:pos="851" w:leader="none"/>
        </w:tabs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tabs>
          <w:tab w:val="left" w:pos="851" w:leader="none"/>
        </w:tabs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tabs>
          <w:tab w:val="left" w:pos="851" w:leader="none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>
      <w:pPr>
        <w:pStyle w:val="Default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870" w:type="dxa"/>
        <w:jc w:val="left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510"/>
        <w:gridCol w:w="3839"/>
        <w:gridCol w:w="1710"/>
        <w:gridCol w:w="1980"/>
        <w:gridCol w:w="1831"/>
      </w:tblGrid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r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-62" w:right="-62" w:firstLine="6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Структурное подразделение, </w:t>
            </w:r>
            <w:r>
              <w:rPr>
                <w:rFonts w:eastAsia="Calibri"/>
                <w:sz w:val="24"/>
                <w:szCs w:val="24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 реализации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 Информирование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1.1.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актуализация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квартал 2023 года (а также   ежемесячно)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размещения информации в разделе «муниципальный контроль по использованию и охране земель ЗГО» на официальном сайте 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первичное размещение 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квартал 2023 года 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1.3.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квартал 2023 года (а также   ежемесячно)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1.4.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программа профилактики рисков причинения вреда 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ежегодно в установленный законодательством срок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размещения информации в разделе «муниципальный контроль по использованию и охране земель ЗГО» на официальном сайте контрольного органа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или руководства по соблюдению обязательных требований, установленных федеральными нормативно-правовыми актами, сформированные федеральными органами исполнительной власти, осуществляющими выработку государственной политики в данной сфере</w:t>
              <w:tab/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1 квартал 2023 года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1.6.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квартал 2023 года</w:t>
            </w:r>
          </w:p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1.7.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актуализация 1 квартал 2023 года (а также в случае необходимости внесения изменений)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1.8.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доклад о муниципальном земельном контроле</w:t>
            </w:r>
          </w:p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  <w:r>
              <w:rPr>
                <w:iCs/>
                <w:sz w:val="24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Сектор по муниципальному земельному контролю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размещения информации в разделе «муниципальный контроль по использованию и охране земель ЗГО» на официальном сайте контрольного органа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Объявление предостережения</w:t>
            </w:r>
          </w:p>
        </w:tc>
      </w:tr>
      <w:tr>
        <w:trPr>
          <w:trHeight w:val="738" w:hRule="atLeast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Выдача контролируемым лицам предостережения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Консультирование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Разъяснение по вопросам:</w:t>
            </w:r>
          </w:p>
          <w:p>
            <w:pPr>
              <w:pStyle w:val="Ptconsplusnormal000024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положений нормативных правовых актов,</w:t>
            </w:r>
            <w:r>
              <w:rPr>
                <w:sz w:val="24"/>
                <w:szCs w:val="24"/>
              </w:rPr>
              <w:t xml:space="preserve"> муниципальных правовых актов,</w:t>
            </w:r>
            <w:r>
              <w:rPr>
                <w:rStyle w:val="Pta0000004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>
            <w:pPr>
              <w:pStyle w:val="Ptconsplusnormal000012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положений нормативных правовых актов,</w:t>
            </w:r>
            <w:r>
              <w:rPr>
                <w:sz w:val="24"/>
                <w:szCs w:val="24"/>
              </w:rPr>
              <w:t xml:space="preserve"> муниципальных правовых актов,</w:t>
            </w:r>
            <w:r>
              <w:rPr>
                <w:rStyle w:val="Pta0000004"/>
                <w:sz w:val="24"/>
                <w:szCs w:val="24"/>
              </w:rPr>
              <w:t xml:space="preserve"> регламентирующих порядок осуществления муниципального земельного контроля;</w:t>
            </w:r>
          </w:p>
          <w:p>
            <w:pPr>
              <w:pStyle w:val="Ptconsplusnormal000012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Pta0000004"/>
                <w:sz w:val="24"/>
                <w:szCs w:val="24"/>
              </w:rPr>
              <w:t>порядка обжалования решений уполномоченных органов, действий (бездействия) должностных лиц, осуществляющих муниципальный земельный контроль;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77" w:leader="none"/>
                <w:tab w:val="left" w:pos="333" w:leader="none"/>
                <w:tab w:val="left" w:pos="567" w:leader="none"/>
                <w:tab w:val="left" w:pos="851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>
        <w:trPr/>
        <w:tc>
          <w:tcPr>
            <w:tcW w:w="98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 Профилактический визит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либо путем использования видео-конференц-связи.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Профилактический визит к лицам,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приступившим к осуществлению деятельности в контролируемой сфере в 2022 году.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либо путем использования видео-конференц-связи.</w:t>
            </w:r>
          </w:p>
        </w:tc>
      </w:tr>
    </w:tbl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41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629"/>
        <w:gridCol w:w="6237"/>
        <w:gridCol w:w="2552"/>
      </w:tblGrid>
      <w:tr>
        <w:trPr>
          <w:trHeight w:val="527" w:hRule="atLeast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от запланированных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36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16"/>
        <w:gridCol w:w="2054"/>
        <w:gridCol w:w="2637"/>
        <w:gridCol w:w="2028"/>
      </w:tblGrid>
      <w:tr>
        <w:trPr>
          <w:trHeight w:val="420" w:hRule="atLeast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больше 50 %</w:t>
            </w:r>
          </w:p>
        </w:tc>
      </w:tr>
      <w:tr>
        <w:trPr>
          <w:trHeight w:val="420" w:hRule="atLeast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эффективность</w:t>
            </w:r>
          </w:p>
        </w:tc>
      </w:tr>
    </w:tbl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2024 года.</w:t>
      </w:r>
    </w:p>
    <w:p>
      <w:pPr>
        <w:pStyle w:val="NoSpacing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left="0" w:right="0" w:firstLine="709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276" w:right="850" w:header="708" w:top="765" w:footer="0" w:bottom="85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26" w:hanging="375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Style16">
    <w:name w:val="Интернет-ссылка"/>
    <w:basedOn w:val="DefaultParagraphFont"/>
    <w:rPr>
      <w:color w:val="0000FF"/>
      <w:u w:val="single"/>
    </w:rPr>
  </w:style>
  <w:style w:type="character" w:styleId="Pta0000004">
    <w:name w:val="pt-a0-000004"/>
    <w:basedOn w:val="DefaultParagraphFont"/>
    <w:qFormat/>
    <w:rPr/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6"/>
    </w:rPr>
  </w:style>
  <w:style w:type="character" w:styleId="ListLabel2">
    <w:name w:val="ListLabel 2"/>
    <w:qFormat/>
    <w:rPr>
      <w:rFonts w:ascii="Times New Roman" w:hAnsi="Times New Roman" w:eastAsia="Calibri" w:cs="Times New Roman"/>
      <w:sz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DejaVu Sans"/>
      <w:sz w:val="22"/>
      <w:szCs w:val="22"/>
      <w:lang w:eastAsia="en-US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A"/>
      <w:sz w:val="24"/>
      <w:szCs w:val="20"/>
      <w:lang w:val="ru-RU" w:eastAsia="ru-RU" w:bidi="ar-SA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tconsplusnormal000012">
    <w:name w:val="pt-consplusnormal-000012"/>
    <w:basedOn w:val="Normal"/>
    <w:qFormat/>
    <w:pPr>
      <w:spacing w:before="280" w:after="280"/>
    </w:pPr>
    <w:rPr/>
  </w:style>
  <w:style w:type="paragraph" w:styleId="Ptconsplusnormal000024">
    <w:name w:val="pt-consplusnormal-000024"/>
    <w:basedOn w:val="Normal"/>
    <w:qFormat/>
    <w:pPr>
      <w:spacing w:before="280" w:after="280"/>
    </w:pPr>
    <w:rPr/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>
    <w:name w:val="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Nonformat">
    <w:name w:val="ConsNonformat"/>
    <w:qFormat/>
    <w:pPr>
      <w:widowControl w:val="fals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Style27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LibreOffice/5.3.6.1$Linux_X86_64 LibreOffice_project/30$Build-1</Application>
  <Pages>7</Pages>
  <Words>1168</Words>
  <Characters>9022</Characters>
  <CharactersWithSpaces>10085</CharactersWithSpaces>
  <Paragraphs>135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2021-09-29T09:21:00Z</dcterms:created>
  <dc:creator>platonovael</dc:creator>
  <dc:description/>
  <dc:language>ru-RU</dc:language>
  <cp:lastModifiedBy/>
  <cp:lastPrinted>2022-09-30T13:16:13Z</cp:lastPrinted>
  <dcterms:modified xsi:type="dcterms:W3CDTF">2022-12-01T09:52:48Z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